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C9284F" w14:paraId="7A361D16" w14:textId="77777777">
        <w:tblPrEx>
          <w:tblCellMar>
            <w:top w:w="0" w:type="dxa"/>
            <w:bottom w:w="0" w:type="dxa"/>
          </w:tblCellMar>
        </w:tblPrEx>
        <w:trPr>
          <w:tblCellSpacing w:w="60" w:type="dxa"/>
        </w:trPr>
        <w:tc>
          <w:tcPr>
            <w:tcW w:w="1200" w:type="pct"/>
            <w:shd w:val="clear" w:color="auto" w:fill="E7F0F9"/>
          </w:tcPr>
          <w:p w14:paraId="29971871" w14:textId="77777777" w:rsidR="00C9284F" w:rsidRDefault="00636D83">
            <w:pPr>
              <w:spacing w:after="0" w:line="240" w:lineRule="auto"/>
            </w:pPr>
            <w:r>
              <w:rPr>
                <w:b/>
              </w:rPr>
              <w:t>RKP broj</w:t>
            </w:r>
          </w:p>
        </w:tc>
        <w:tc>
          <w:tcPr>
            <w:tcW w:w="0" w:type="auto"/>
            <w:shd w:val="clear" w:color="auto" w:fill="E7F0F9"/>
          </w:tcPr>
          <w:p w14:paraId="24916E03" w14:textId="77777777" w:rsidR="00C9284F" w:rsidRDefault="00636D83">
            <w:pPr>
              <w:spacing w:after="0" w:line="240" w:lineRule="auto"/>
            </w:pPr>
            <w:r>
              <w:t>123</w:t>
            </w:r>
          </w:p>
        </w:tc>
      </w:tr>
      <w:tr w:rsidR="00C9284F" w14:paraId="6E2923B8" w14:textId="77777777">
        <w:tblPrEx>
          <w:tblCellMar>
            <w:top w:w="0" w:type="dxa"/>
            <w:bottom w:w="0" w:type="dxa"/>
          </w:tblCellMar>
        </w:tblPrEx>
        <w:trPr>
          <w:tblCellSpacing w:w="60" w:type="dxa"/>
        </w:trPr>
        <w:tc>
          <w:tcPr>
            <w:tcW w:w="1200" w:type="pct"/>
            <w:shd w:val="clear" w:color="auto" w:fill="E7F0F9"/>
          </w:tcPr>
          <w:p w14:paraId="0906D772" w14:textId="77777777" w:rsidR="00C9284F" w:rsidRDefault="00636D83">
            <w:pPr>
              <w:spacing w:after="0" w:line="240" w:lineRule="auto"/>
            </w:pPr>
            <w:r>
              <w:rPr>
                <w:b/>
              </w:rPr>
              <w:t>Naziv obveznika</w:t>
            </w:r>
          </w:p>
        </w:tc>
        <w:tc>
          <w:tcPr>
            <w:tcW w:w="0" w:type="auto"/>
            <w:shd w:val="clear" w:color="auto" w:fill="E7F0F9"/>
          </w:tcPr>
          <w:p w14:paraId="6683ED07" w14:textId="77777777" w:rsidR="00C9284F" w:rsidRDefault="00636D83">
            <w:pPr>
              <w:spacing w:after="0" w:line="240" w:lineRule="auto"/>
            </w:pPr>
            <w:r>
              <w:t>URED ZA OPĆE POSLOVE HRVATSKOG  SABORA I VLADE REPUBLIKE HRVATSKE</w:t>
            </w:r>
          </w:p>
        </w:tc>
      </w:tr>
      <w:tr w:rsidR="00C9284F" w14:paraId="59DB9ABA" w14:textId="77777777">
        <w:tblPrEx>
          <w:tblCellMar>
            <w:top w:w="0" w:type="dxa"/>
            <w:bottom w:w="0" w:type="dxa"/>
          </w:tblCellMar>
        </w:tblPrEx>
        <w:trPr>
          <w:tblCellSpacing w:w="60" w:type="dxa"/>
        </w:trPr>
        <w:tc>
          <w:tcPr>
            <w:tcW w:w="1200" w:type="pct"/>
            <w:shd w:val="clear" w:color="auto" w:fill="E7F0F9"/>
          </w:tcPr>
          <w:p w14:paraId="3B4C458D" w14:textId="77777777" w:rsidR="00C9284F" w:rsidRDefault="00636D83">
            <w:pPr>
              <w:spacing w:after="0" w:line="240" w:lineRule="auto"/>
            </w:pPr>
            <w:r>
              <w:rPr>
                <w:b/>
              </w:rPr>
              <w:t>Razina</w:t>
            </w:r>
          </w:p>
        </w:tc>
        <w:tc>
          <w:tcPr>
            <w:tcW w:w="0" w:type="auto"/>
            <w:shd w:val="clear" w:color="auto" w:fill="E7F0F9"/>
          </w:tcPr>
          <w:p w14:paraId="781507DD" w14:textId="77777777" w:rsidR="00C9284F" w:rsidRDefault="00636D83">
            <w:pPr>
              <w:spacing w:after="0" w:line="240" w:lineRule="auto"/>
            </w:pPr>
            <w:r>
              <w:t>11</w:t>
            </w:r>
          </w:p>
        </w:tc>
      </w:tr>
    </w:tbl>
    <w:p w14:paraId="58CBABB5" w14:textId="77777777" w:rsidR="00C9284F" w:rsidRDefault="00636D83">
      <w:r>
        <w:br/>
      </w:r>
    </w:p>
    <w:p w14:paraId="18872C4D" w14:textId="77777777" w:rsidR="00C9284F" w:rsidRDefault="00636D83">
      <w:pPr>
        <w:spacing w:line="240" w:lineRule="auto"/>
        <w:jc w:val="center"/>
      </w:pPr>
      <w:r>
        <w:rPr>
          <w:b/>
          <w:sz w:val="28"/>
        </w:rPr>
        <w:t>BILJEŠKE UZ FINANCIJSKE IZVJEŠTAJE</w:t>
      </w:r>
    </w:p>
    <w:p w14:paraId="14BB4EE1" w14:textId="77777777" w:rsidR="00C9284F" w:rsidRDefault="00636D83">
      <w:pPr>
        <w:spacing w:line="240" w:lineRule="auto"/>
        <w:jc w:val="center"/>
      </w:pPr>
      <w:r>
        <w:rPr>
          <w:b/>
          <w:sz w:val="28"/>
        </w:rPr>
        <w:t>ZA RAZDOBLJE</w:t>
      </w:r>
    </w:p>
    <w:p w14:paraId="70CDDD76" w14:textId="77777777" w:rsidR="00C9284F" w:rsidRDefault="00636D83">
      <w:pPr>
        <w:spacing w:line="240" w:lineRule="auto"/>
        <w:jc w:val="center"/>
      </w:pPr>
      <w:r>
        <w:rPr>
          <w:b/>
          <w:sz w:val="28"/>
        </w:rPr>
        <w:t>I - XII 2025.</w:t>
      </w:r>
    </w:p>
    <w:p w14:paraId="24B5DBE6" w14:textId="77777777" w:rsidR="00C9284F" w:rsidRDefault="00C9284F"/>
    <w:p w14:paraId="6FC1CCE9" w14:textId="77777777" w:rsidR="00C9284F" w:rsidRDefault="00636D83">
      <w:pPr>
        <w:keepNext/>
        <w:spacing w:line="240" w:lineRule="auto"/>
        <w:jc w:val="center"/>
      </w:pPr>
      <w:r>
        <w:rPr>
          <w:b/>
          <w:sz w:val="28"/>
        </w:rPr>
        <w:t>Izvještaj o prihodima i rashodima, primicima i izdacima</w:t>
      </w:r>
    </w:p>
    <w:p w14:paraId="78DEF5FC" w14:textId="77777777" w:rsidR="00C9284F" w:rsidRDefault="00636D83">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0AA17B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8FC1C1"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08D0AB"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3A1BDE"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4BF521"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07D8E4"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187DDE" w14:textId="77777777" w:rsidR="00C9284F" w:rsidRDefault="00636D83">
            <w:pPr>
              <w:keepNext/>
              <w:keepLines/>
              <w:spacing w:after="0" w:line="240" w:lineRule="auto"/>
              <w:jc w:val="center"/>
            </w:pPr>
            <w:r>
              <w:rPr>
                <w:b/>
                <w:sz w:val="18"/>
              </w:rPr>
              <w:t>Indeks (%)</w:t>
            </w:r>
          </w:p>
        </w:tc>
      </w:tr>
      <w:tr w:rsidR="00C9284F" w14:paraId="4CE2D0BB" w14:textId="77777777">
        <w:tblPrEx>
          <w:tblCellMar>
            <w:top w:w="0" w:type="dxa"/>
            <w:bottom w:w="0" w:type="dxa"/>
          </w:tblCellMar>
        </w:tblPrEx>
        <w:trPr>
          <w:cantSplit/>
          <w:trHeight w:val="560"/>
        </w:trPr>
        <w:tc>
          <w:tcPr>
            <w:tcW w:w="700" w:type="dxa"/>
            <w:tcMar>
              <w:top w:w="0" w:type="dxa"/>
              <w:bottom w:w="0" w:type="dxa"/>
            </w:tcMar>
            <w:vAlign w:val="center"/>
          </w:tcPr>
          <w:p w14:paraId="70144C62" w14:textId="77777777" w:rsidR="00C9284F" w:rsidRDefault="00636D83">
            <w:pPr>
              <w:keepNext/>
              <w:keepLines/>
              <w:spacing w:after="0" w:line="240" w:lineRule="auto"/>
            </w:pPr>
            <w:r>
              <w:rPr>
                <w:sz w:val="18"/>
              </w:rPr>
              <w:t>6</w:t>
            </w:r>
          </w:p>
        </w:tc>
        <w:tc>
          <w:tcPr>
            <w:tcW w:w="3180" w:type="dxa"/>
            <w:tcMar>
              <w:top w:w="0" w:type="dxa"/>
              <w:bottom w:w="0" w:type="dxa"/>
            </w:tcMar>
            <w:vAlign w:val="center"/>
          </w:tcPr>
          <w:p w14:paraId="55C3462F" w14:textId="77777777" w:rsidR="00C9284F" w:rsidRDefault="00636D83">
            <w:pPr>
              <w:keepNext/>
              <w:keepLines/>
              <w:spacing w:after="0" w:line="240" w:lineRule="auto"/>
            </w:pPr>
            <w:r>
              <w:rPr>
                <w:sz w:val="18"/>
              </w:rPr>
              <w:t xml:space="preserve">PRIHODI POSLOVANJA (šifre </w:t>
            </w:r>
            <w:r>
              <w:rPr>
                <w:sz w:val="18"/>
              </w:rPr>
              <w:t>61+62+63+64+65+66+67+68)</w:t>
            </w:r>
          </w:p>
        </w:tc>
        <w:tc>
          <w:tcPr>
            <w:tcW w:w="700" w:type="dxa"/>
            <w:tcMar>
              <w:top w:w="0" w:type="dxa"/>
              <w:bottom w:w="0" w:type="dxa"/>
            </w:tcMar>
            <w:vAlign w:val="center"/>
          </w:tcPr>
          <w:p w14:paraId="3F685935" w14:textId="77777777" w:rsidR="00C9284F" w:rsidRDefault="00636D83">
            <w:pPr>
              <w:keepNext/>
              <w:keepLines/>
              <w:spacing w:after="0" w:line="240" w:lineRule="auto"/>
            </w:pPr>
            <w:r>
              <w:rPr>
                <w:sz w:val="18"/>
              </w:rPr>
              <w:t>6</w:t>
            </w:r>
          </w:p>
        </w:tc>
        <w:tc>
          <w:tcPr>
            <w:tcW w:w="1860" w:type="dxa"/>
            <w:tcMar>
              <w:top w:w="0" w:type="dxa"/>
              <w:bottom w:w="0" w:type="dxa"/>
            </w:tcMar>
            <w:vAlign w:val="center"/>
          </w:tcPr>
          <w:p w14:paraId="213321D2" w14:textId="77777777" w:rsidR="00C9284F" w:rsidRDefault="00636D83">
            <w:pPr>
              <w:keepNext/>
              <w:keepLines/>
              <w:spacing w:after="0" w:line="240" w:lineRule="auto"/>
              <w:jc w:val="right"/>
            </w:pPr>
            <w:r>
              <w:rPr>
                <w:sz w:val="18"/>
              </w:rPr>
              <w:t>8.530.956,14</w:t>
            </w:r>
          </w:p>
        </w:tc>
        <w:tc>
          <w:tcPr>
            <w:tcW w:w="1860" w:type="dxa"/>
            <w:tcMar>
              <w:top w:w="0" w:type="dxa"/>
              <w:bottom w:w="0" w:type="dxa"/>
            </w:tcMar>
            <w:vAlign w:val="center"/>
          </w:tcPr>
          <w:p w14:paraId="41A5276B" w14:textId="77777777" w:rsidR="00C9284F" w:rsidRDefault="00636D83">
            <w:pPr>
              <w:keepNext/>
              <w:keepLines/>
              <w:spacing w:after="0" w:line="240" w:lineRule="auto"/>
              <w:jc w:val="right"/>
            </w:pPr>
            <w:r>
              <w:rPr>
                <w:sz w:val="18"/>
              </w:rPr>
              <w:t>6.720.855,87</w:t>
            </w:r>
          </w:p>
        </w:tc>
        <w:tc>
          <w:tcPr>
            <w:tcW w:w="700" w:type="dxa"/>
            <w:tcMar>
              <w:top w:w="0" w:type="dxa"/>
              <w:bottom w:w="0" w:type="dxa"/>
            </w:tcMar>
            <w:vAlign w:val="center"/>
          </w:tcPr>
          <w:p w14:paraId="77E5FB33" w14:textId="77777777" w:rsidR="00C9284F" w:rsidRDefault="00636D83">
            <w:pPr>
              <w:keepNext/>
              <w:keepLines/>
              <w:spacing w:after="0" w:line="240" w:lineRule="auto"/>
              <w:jc w:val="right"/>
            </w:pPr>
            <w:r>
              <w:rPr>
                <w:sz w:val="18"/>
              </w:rPr>
              <w:t>78,8</w:t>
            </w:r>
          </w:p>
        </w:tc>
      </w:tr>
      <w:tr w:rsidR="00C9284F" w14:paraId="3906DBD9" w14:textId="77777777">
        <w:tblPrEx>
          <w:tblCellMar>
            <w:top w:w="0" w:type="dxa"/>
            <w:bottom w:w="0" w:type="dxa"/>
          </w:tblCellMar>
        </w:tblPrEx>
        <w:trPr>
          <w:cantSplit/>
          <w:trHeight w:val="560"/>
        </w:trPr>
        <w:tc>
          <w:tcPr>
            <w:tcW w:w="700" w:type="dxa"/>
            <w:tcMar>
              <w:top w:w="0" w:type="dxa"/>
              <w:bottom w:w="0" w:type="dxa"/>
            </w:tcMar>
            <w:vAlign w:val="center"/>
          </w:tcPr>
          <w:p w14:paraId="346E83DB" w14:textId="77777777" w:rsidR="00C9284F" w:rsidRDefault="00636D83">
            <w:pPr>
              <w:keepNext/>
              <w:keepLines/>
              <w:spacing w:after="0" w:line="240" w:lineRule="auto"/>
            </w:pPr>
            <w:r>
              <w:rPr>
                <w:sz w:val="18"/>
              </w:rPr>
              <w:t>3</w:t>
            </w:r>
          </w:p>
        </w:tc>
        <w:tc>
          <w:tcPr>
            <w:tcW w:w="3180" w:type="dxa"/>
            <w:tcMar>
              <w:top w:w="0" w:type="dxa"/>
              <w:bottom w:w="0" w:type="dxa"/>
            </w:tcMar>
            <w:vAlign w:val="center"/>
          </w:tcPr>
          <w:p w14:paraId="0EC52DF2" w14:textId="77777777" w:rsidR="00C9284F" w:rsidRDefault="00636D83">
            <w:pPr>
              <w:keepNext/>
              <w:keepLines/>
              <w:spacing w:after="0" w:line="240" w:lineRule="auto"/>
            </w:pPr>
            <w:r>
              <w:rPr>
                <w:sz w:val="18"/>
              </w:rPr>
              <w:t>RASHODI POSLOVANJA (šifre 31+32+34+35+36+37+38)</w:t>
            </w:r>
          </w:p>
        </w:tc>
        <w:tc>
          <w:tcPr>
            <w:tcW w:w="700" w:type="dxa"/>
            <w:tcMar>
              <w:top w:w="0" w:type="dxa"/>
              <w:bottom w:w="0" w:type="dxa"/>
            </w:tcMar>
            <w:vAlign w:val="center"/>
          </w:tcPr>
          <w:p w14:paraId="3D805808" w14:textId="77777777" w:rsidR="00C9284F" w:rsidRDefault="00636D83">
            <w:pPr>
              <w:keepNext/>
              <w:keepLines/>
              <w:spacing w:after="0" w:line="240" w:lineRule="auto"/>
            </w:pPr>
            <w:r>
              <w:rPr>
                <w:sz w:val="18"/>
              </w:rPr>
              <w:t>3</w:t>
            </w:r>
          </w:p>
        </w:tc>
        <w:tc>
          <w:tcPr>
            <w:tcW w:w="1860" w:type="dxa"/>
            <w:tcMar>
              <w:top w:w="0" w:type="dxa"/>
              <w:bottom w:w="0" w:type="dxa"/>
            </w:tcMar>
            <w:vAlign w:val="center"/>
          </w:tcPr>
          <w:p w14:paraId="7FBE10CE" w14:textId="77777777" w:rsidR="00C9284F" w:rsidRDefault="00636D83">
            <w:pPr>
              <w:keepNext/>
              <w:keepLines/>
              <w:spacing w:after="0" w:line="240" w:lineRule="auto"/>
              <w:jc w:val="right"/>
            </w:pPr>
            <w:r>
              <w:rPr>
                <w:sz w:val="18"/>
              </w:rPr>
              <w:t>6.610.570,57</w:t>
            </w:r>
          </w:p>
        </w:tc>
        <w:tc>
          <w:tcPr>
            <w:tcW w:w="1860" w:type="dxa"/>
            <w:tcMar>
              <w:top w:w="0" w:type="dxa"/>
              <w:bottom w:w="0" w:type="dxa"/>
            </w:tcMar>
            <w:vAlign w:val="center"/>
          </w:tcPr>
          <w:p w14:paraId="3997B03D" w14:textId="77777777" w:rsidR="00C9284F" w:rsidRDefault="00636D83">
            <w:pPr>
              <w:keepNext/>
              <w:keepLines/>
              <w:spacing w:after="0" w:line="240" w:lineRule="auto"/>
              <w:jc w:val="right"/>
            </w:pPr>
            <w:r>
              <w:rPr>
                <w:sz w:val="18"/>
              </w:rPr>
              <w:t>6.818.351,06</w:t>
            </w:r>
          </w:p>
        </w:tc>
        <w:tc>
          <w:tcPr>
            <w:tcW w:w="700" w:type="dxa"/>
            <w:tcMar>
              <w:top w:w="0" w:type="dxa"/>
              <w:bottom w:w="0" w:type="dxa"/>
            </w:tcMar>
            <w:vAlign w:val="center"/>
          </w:tcPr>
          <w:p w14:paraId="0B50E250" w14:textId="77777777" w:rsidR="00C9284F" w:rsidRDefault="00636D83">
            <w:pPr>
              <w:keepNext/>
              <w:keepLines/>
              <w:spacing w:after="0" w:line="240" w:lineRule="auto"/>
              <w:jc w:val="right"/>
            </w:pPr>
            <w:r>
              <w:rPr>
                <w:sz w:val="18"/>
              </w:rPr>
              <w:t>103,1</w:t>
            </w:r>
          </w:p>
        </w:tc>
      </w:tr>
      <w:tr w:rsidR="00C9284F" w14:paraId="3D7679E8" w14:textId="77777777">
        <w:tblPrEx>
          <w:tblCellMar>
            <w:top w:w="0" w:type="dxa"/>
            <w:bottom w:w="0" w:type="dxa"/>
          </w:tblCellMar>
        </w:tblPrEx>
        <w:trPr>
          <w:cantSplit/>
          <w:trHeight w:val="560"/>
        </w:trPr>
        <w:tc>
          <w:tcPr>
            <w:tcW w:w="700" w:type="dxa"/>
            <w:tcMar>
              <w:top w:w="0" w:type="dxa"/>
              <w:bottom w:w="0" w:type="dxa"/>
            </w:tcMar>
            <w:vAlign w:val="center"/>
          </w:tcPr>
          <w:p w14:paraId="572CE3EE" w14:textId="77777777" w:rsidR="00C9284F" w:rsidRDefault="00C9284F">
            <w:pPr>
              <w:keepNext/>
              <w:keepLines/>
              <w:spacing w:after="0" w:line="240" w:lineRule="auto"/>
            </w:pPr>
          </w:p>
        </w:tc>
        <w:tc>
          <w:tcPr>
            <w:tcW w:w="3180" w:type="dxa"/>
            <w:tcMar>
              <w:top w:w="0" w:type="dxa"/>
              <w:bottom w:w="0" w:type="dxa"/>
            </w:tcMar>
            <w:vAlign w:val="center"/>
          </w:tcPr>
          <w:p w14:paraId="703101F7" w14:textId="77777777" w:rsidR="00C9284F" w:rsidRDefault="00636D83">
            <w:pPr>
              <w:keepNext/>
              <w:keepLines/>
              <w:spacing w:after="0" w:line="240" w:lineRule="auto"/>
            </w:pPr>
            <w:r>
              <w:rPr>
                <w:b/>
                <w:sz w:val="18"/>
              </w:rPr>
              <w:t>MANJAK PRIHODA POSLOVANJA (šifre Z005-6)</w:t>
            </w:r>
          </w:p>
        </w:tc>
        <w:tc>
          <w:tcPr>
            <w:tcW w:w="700" w:type="dxa"/>
            <w:tcMar>
              <w:top w:w="0" w:type="dxa"/>
              <w:bottom w:w="0" w:type="dxa"/>
            </w:tcMar>
            <w:vAlign w:val="center"/>
          </w:tcPr>
          <w:p w14:paraId="23255F23" w14:textId="77777777" w:rsidR="00C9284F" w:rsidRDefault="00636D83">
            <w:pPr>
              <w:keepNext/>
              <w:keepLines/>
              <w:spacing w:after="0" w:line="240" w:lineRule="auto"/>
            </w:pPr>
            <w:r>
              <w:rPr>
                <w:b/>
                <w:sz w:val="18"/>
              </w:rPr>
              <w:t>Y001</w:t>
            </w:r>
          </w:p>
        </w:tc>
        <w:tc>
          <w:tcPr>
            <w:tcW w:w="1860" w:type="dxa"/>
            <w:tcMar>
              <w:top w:w="0" w:type="dxa"/>
              <w:bottom w:w="0" w:type="dxa"/>
            </w:tcMar>
            <w:vAlign w:val="center"/>
          </w:tcPr>
          <w:p w14:paraId="6BBF85AC" w14:textId="77777777" w:rsidR="00C9284F" w:rsidRDefault="00636D83">
            <w:pPr>
              <w:keepNext/>
              <w:keepLines/>
              <w:spacing w:after="0" w:line="240" w:lineRule="auto"/>
              <w:jc w:val="right"/>
            </w:pPr>
            <w:r>
              <w:rPr>
                <w:b/>
                <w:sz w:val="18"/>
              </w:rPr>
              <w:t>0,00</w:t>
            </w:r>
          </w:p>
        </w:tc>
        <w:tc>
          <w:tcPr>
            <w:tcW w:w="1860" w:type="dxa"/>
            <w:tcMar>
              <w:top w:w="0" w:type="dxa"/>
              <w:bottom w:w="0" w:type="dxa"/>
            </w:tcMar>
            <w:vAlign w:val="center"/>
          </w:tcPr>
          <w:p w14:paraId="2D780E06" w14:textId="77777777" w:rsidR="00C9284F" w:rsidRDefault="00636D83">
            <w:pPr>
              <w:keepNext/>
              <w:keepLines/>
              <w:spacing w:after="0" w:line="240" w:lineRule="auto"/>
              <w:jc w:val="right"/>
            </w:pPr>
            <w:r>
              <w:rPr>
                <w:b/>
                <w:sz w:val="18"/>
              </w:rPr>
              <w:t>97.495,19</w:t>
            </w:r>
          </w:p>
        </w:tc>
        <w:tc>
          <w:tcPr>
            <w:tcW w:w="700" w:type="dxa"/>
            <w:tcMar>
              <w:top w:w="0" w:type="dxa"/>
              <w:bottom w:w="0" w:type="dxa"/>
            </w:tcMar>
            <w:vAlign w:val="center"/>
          </w:tcPr>
          <w:p w14:paraId="71BEBD71" w14:textId="77777777" w:rsidR="00C9284F" w:rsidRDefault="00636D83">
            <w:pPr>
              <w:keepNext/>
              <w:keepLines/>
              <w:spacing w:after="0" w:line="240" w:lineRule="auto"/>
              <w:jc w:val="right"/>
            </w:pPr>
            <w:r>
              <w:rPr>
                <w:b/>
                <w:sz w:val="18"/>
              </w:rPr>
              <w:t>-</w:t>
            </w:r>
          </w:p>
        </w:tc>
      </w:tr>
      <w:tr w:rsidR="00C9284F" w14:paraId="3D83A831" w14:textId="77777777">
        <w:tblPrEx>
          <w:tblCellMar>
            <w:top w:w="0" w:type="dxa"/>
            <w:bottom w:w="0" w:type="dxa"/>
          </w:tblCellMar>
        </w:tblPrEx>
        <w:trPr>
          <w:cantSplit/>
          <w:trHeight w:val="560"/>
        </w:trPr>
        <w:tc>
          <w:tcPr>
            <w:tcW w:w="700" w:type="dxa"/>
            <w:tcMar>
              <w:top w:w="0" w:type="dxa"/>
              <w:bottom w:w="0" w:type="dxa"/>
            </w:tcMar>
            <w:vAlign w:val="center"/>
          </w:tcPr>
          <w:p w14:paraId="052F9BD1" w14:textId="77777777" w:rsidR="00C9284F" w:rsidRDefault="00636D83">
            <w:pPr>
              <w:keepNext/>
              <w:keepLines/>
              <w:spacing w:after="0" w:line="240" w:lineRule="auto"/>
            </w:pPr>
            <w:r>
              <w:rPr>
                <w:sz w:val="18"/>
              </w:rPr>
              <w:t>7</w:t>
            </w:r>
          </w:p>
        </w:tc>
        <w:tc>
          <w:tcPr>
            <w:tcW w:w="3180" w:type="dxa"/>
            <w:tcMar>
              <w:top w:w="0" w:type="dxa"/>
              <w:bottom w:w="0" w:type="dxa"/>
            </w:tcMar>
            <w:vAlign w:val="center"/>
          </w:tcPr>
          <w:p w14:paraId="0E794EEF" w14:textId="77777777" w:rsidR="00C9284F" w:rsidRDefault="00636D83">
            <w:pPr>
              <w:keepNext/>
              <w:keepLines/>
              <w:spacing w:after="0" w:line="240" w:lineRule="auto"/>
            </w:pPr>
            <w:r>
              <w:rPr>
                <w:sz w:val="18"/>
              </w:rPr>
              <w:t xml:space="preserve">Prihodi od prodaje nefinancijske </w:t>
            </w:r>
            <w:r>
              <w:rPr>
                <w:sz w:val="18"/>
              </w:rPr>
              <w:t>imovine (šifre 71+72+73+74)</w:t>
            </w:r>
          </w:p>
        </w:tc>
        <w:tc>
          <w:tcPr>
            <w:tcW w:w="700" w:type="dxa"/>
            <w:tcMar>
              <w:top w:w="0" w:type="dxa"/>
              <w:bottom w:w="0" w:type="dxa"/>
            </w:tcMar>
            <w:vAlign w:val="center"/>
          </w:tcPr>
          <w:p w14:paraId="5ED5EE87" w14:textId="77777777" w:rsidR="00C9284F" w:rsidRDefault="00636D83">
            <w:pPr>
              <w:keepNext/>
              <w:keepLines/>
              <w:spacing w:after="0" w:line="240" w:lineRule="auto"/>
            </w:pPr>
            <w:r>
              <w:rPr>
                <w:sz w:val="18"/>
              </w:rPr>
              <w:t>7</w:t>
            </w:r>
          </w:p>
        </w:tc>
        <w:tc>
          <w:tcPr>
            <w:tcW w:w="1860" w:type="dxa"/>
            <w:tcMar>
              <w:top w:w="0" w:type="dxa"/>
              <w:bottom w:w="0" w:type="dxa"/>
            </w:tcMar>
            <w:vAlign w:val="center"/>
          </w:tcPr>
          <w:p w14:paraId="502CAABA" w14:textId="77777777" w:rsidR="00C9284F" w:rsidRDefault="00636D83">
            <w:pPr>
              <w:keepNext/>
              <w:keepLines/>
              <w:spacing w:after="0" w:line="240" w:lineRule="auto"/>
              <w:jc w:val="right"/>
            </w:pPr>
            <w:r>
              <w:rPr>
                <w:sz w:val="18"/>
              </w:rPr>
              <w:t>0,00</w:t>
            </w:r>
          </w:p>
        </w:tc>
        <w:tc>
          <w:tcPr>
            <w:tcW w:w="1860" w:type="dxa"/>
            <w:tcMar>
              <w:top w:w="0" w:type="dxa"/>
              <w:bottom w:w="0" w:type="dxa"/>
            </w:tcMar>
            <w:vAlign w:val="center"/>
          </w:tcPr>
          <w:p w14:paraId="5C9E7ACF" w14:textId="77777777" w:rsidR="00C9284F" w:rsidRDefault="00636D83">
            <w:pPr>
              <w:keepNext/>
              <w:keepLines/>
              <w:spacing w:after="0" w:line="240" w:lineRule="auto"/>
              <w:jc w:val="right"/>
            </w:pPr>
            <w:r>
              <w:rPr>
                <w:sz w:val="18"/>
              </w:rPr>
              <w:t>0,00</w:t>
            </w:r>
          </w:p>
        </w:tc>
        <w:tc>
          <w:tcPr>
            <w:tcW w:w="700" w:type="dxa"/>
            <w:tcMar>
              <w:top w:w="0" w:type="dxa"/>
              <w:bottom w:w="0" w:type="dxa"/>
            </w:tcMar>
            <w:vAlign w:val="center"/>
          </w:tcPr>
          <w:p w14:paraId="46DA3DDA" w14:textId="77777777" w:rsidR="00C9284F" w:rsidRDefault="00636D83">
            <w:pPr>
              <w:keepNext/>
              <w:keepLines/>
              <w:spacing w:after="0" w:line="240" w:lineRule="auto"/>
              <w:jc w:val="right"/>
            </w:pPr>
            <w:r>
              <w:rPr>
                <w:sz w:val="18"/>
              </w:rPr>
              <w:t>-</w:t>
            </w:r>
          </w:p>
        </w:tc>
      </w:tr>
      <w:tr w:rsidR="00C9284F" w14:paraId="25CF4275" w14:textId="77777777">
        <w:tblPrEx>
          <w:tblCellMar>
            <w:top w:w="0" w:type="dxa"/>
            <w:bottom w:w="0" w:type="dxa"/>
          </w:tblCellMar>
        </w:tblPrEx>
        <w:trPr>
          <w:cantSplit/>
          <w:trHeight w:val="560"/>
        </w:trPr>
        <w:tc>
          <w:tcPr>
            <w:tcW w:w="700" w:type="dxa"/>
            <w:tcMar>
              <w:top w:w="0" w:type="dxa"/>
              <w:bottom w:w="0" w:type="dxa"/>
            </w:tcMar>
            <w:vAlign w:val="center"/>
          </w:tcPr>
          <w:p w14:paraId="7ED82B06" w14:textId="77777777" w:rsidR="00C9284F" w:rsidRDefault="00636D83">
            <w:pPr>
              <w:keepNext/>
              <w:keepLines/>
              <w:spacing w:after="0" w:line="240" w:lineRule="auto"/>
            </w:pPr>
            <w:r>
              <w:rPr>
                <w:sz w:val="18"/>
              </w:rPr>
              <w:t>4</w:t>
            </w:r>
          </w:p>
        </w:tc>
        <w:tc>
          <w:tcPr>
            <w:tcW w:w="3180" w:type="dxa"/>
            <w:tcMar>
              <w:top w:w="0" w:type="dxa"/>
              <w:bottom w:w="0" w:type="dxa"/>
            </w:tcMar>
            <w:vAlign w:val="center"/>
          </w:tcPr>
          <w:p w14:paraId="45F79378" w14:textId="77777777" w:rsidR="00C9284F" w:rsidRDefault="00636D83">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5E13A09" w14:textId="77777777" w:rsidR="00C9284F" w:rsidRDefault="00636D83">
            <w:pPr>
              <w:keepNext/>
              <w:keepLines/>
              <w:spacing w:after="0" w:line="240" w:lineRule="auto"/>
            </w:pPr>
            <w:r>
              <w:rPr>
                <w:sz w:val="18"/>
              </w:rPr>
              <w:t>4</w:t>
            </w:r>
          </w:p>
        </w:tc>
        <w:tc>
          <w:tcPr>
            <w:tcW w:w="1860" w:type="dxa"/>
            <w:tcMar>
              <w:top w:w="0" w:type="dxa"/>
              <w:bottom w:w="0" w:type="dxa"/>
            </w:tcMar>
            <w:vAlign w:val="center"/>
          </w:tcPr>
          <w:p w14:paraId="6C7C4422" w14:textId="77777777" w:rsidR="00C9284F" w:rsidRDefault="00636D83">
            <w:pPr>
              <w:keepNext/>
              <w:keepLines/>
              <w:spacing w:after="0" w:line="240" w:lineRule="auto"/>
              <w:jc w:val="right"/>
            </w:pPr>
            <w:r>
              <w:rPr>
                <w:sz w:val="18"/>
              </w:rPr>
              <w:t>1.761.186,35</w:t>
            </w:r>
          </w:p>
        </w:tc>
        <w:tc>
          <w:tcPr>
            <w:tcW w:w="1860" w:type="dxa"/>
            <w:tcMar>
              <w:top w:w="0" w:type="dxa"/>
              <w:bottom w:w="0" w:type="dxa"/>
            </w:tcMar>
            <w:vAlign w:val="center"/>
          </w:tcPr>
          <w:p w14:paraId="764EB686" w14:textId="77777777" w:rsidR="00C9284F" w:rsidRDefault="00636D83">
            <w:pPr>
              <w:keepNext/>
              <w:keepLines/>
              <w:spacing w:after="0" w:line="240" w:lineRule="auto"/>
              <w:jc w:val="right"/>
            </w:pPr>
            <w:r>
              <w:rPr>
                <w:sz w:val="18"/>
              </w:rPr>
              <w:t>686.350,53</w:t>
            </w:r>
          </w:p>
        </w:tc>
        <w:tc>
          <w:tcPr>
            <w:tcW w:w="700" w:type="dxa"/>
            <w:tcMar>
              <w:top w:w="0" w:type="dxa"/>
              <w:bottom w:w="0" w:type="dxa"/>
            </w:tcMar>
            <w:vAlign w:val="center"/>
          </w:tcPr>
          <w:p w14:paraId="44BD1B5B" w14:textId="77777777" w:rsidR="00C9284F" w:rsidRDefault="00636D83">
            <w:pPr>
              <w:keepNext/>
              <w:keepLines/>
              <w:spacing w:after="0" w:line="240" w:lineRule="auto"/>
              <w:jc w:val="right"/>
            </w:pPr>
            <w:r>
              <w:rPr>
                <w:sz w:val="18"/>
              </w:rPr>
              <w:t>39,0</w:t>
            </w:r>
          </w:p>
        </w:tc>
      </w:tr>
      <w:tr w:rsidR="00C9284F" w14:paraId="43A64509" w14:textId="77777777">
        <w:tblPrEx>
          <w:tblCellMar>
            <w:top w:w="0" w:type="dxa"/>
            <w:bottom w:w="0" w:type="dxa"/>
          </w:tblCellMar>
        </w:tblPrEx>
        <w:trPr>
          <w:cantSplit/>
          <w:trHeight w:val="560"/>
        </w:trPr>
        <w:tc>
          <w:tcPr>
            <w:tcW w:w="700" w:type="dxa"/>
            <w:tcMar>
              <w:top w:w="0" w:type="dxa"/>
              <w:bottom w:w="0" w:type="dxa"/>
            </w:tcMar>
            <w:vAlign w:val="center"/>
          </w:tcPr>
          <w:p w14:paraId="1B355886" w14:textId="77777777" w:rsidR="00C9284F" w:rsidRDefault="00C9284F">
            <w:pPr>
              <w:keepNext/>
              <w:keepLines/>
              <w:spacing w:after="0" w:line="240" w:lineRule="auto"/>
            </w:pPr>
          </w:p>
        </w:tc>
        <w:tc>
          <w:tcPr>
            <w:tcW w:w="3180" w:type="dxa"/>
            <w:tcMar>
              <w:top w:w="0" w:type="dxa"/>
              <w:bottom w:w="0" w:type="dxa"/>
            </w:tcMar>
            <w:vAlign w:val="center"/>
          </w:tcPr>
          <w:p w14:paraId="6891D43C" w14:textId="77777777" w:rsidR="00C9284F" w:rsidRDefault="00636D83">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D87ED8B" w14:textId="77777777" w:rsidR="00C9284F" w:rsidRDefault="00636D83">
            <w:pPr>
              <w:keepNext/>
              <w:keepLines/>
              <w:spacing w:after="0" w:line="240" w:lineRule="auto"/>
            </w:pPr>
            <w:r>
              <w:rPr>
                <w:b/>
                <w:sz w:val="18"/>
              </w:rPr>
              <w:t>Y002</w:t>
            </w:r>
          </w:p>
        </w:tc>
        <w:tc>
          <w:tcPr>
            <w:tcW w:w="1860" w:type="dxa"/>
            <w:tcMar>
              <w:top w:w="0" w:type="dxa"/>
              <w:bottom w:w="0" w:type="dxa"/>
            </w:tcMar>
            <w:vAlign w:val="center"/>
          </w:tcPr>
          <w:p w14:paraId="22B0CEFB" w14:textId="77777777" w:rsidR="00C9284F" w:rsidRDefault="00636D83">
            <w:pPr>
              <w:keepNext/>
              <w:keepLines/>
              <w:spacing w:after="0" w:line="240" w:lineRule="auto"/>
              <w:jc w:val="right"/>
            </w:pPr>
            <w:r>
              <w:rPr>
                <w:b/>
                <w:sz w:val="18"/>
              </w:rPr>
              <w:t>1.761.186,35</w:t>
            </w:r>
          </w:p>
        </w:tc>
        <w:tc>
          <w:tcPr>
            <w:tcW w:w="1860" w:type="dxa"/>
            <w:tcMar>
              <w:top w:w="0" w:type="dxa"/>
              <w:bottom w:w="0" w:type="dxa"/>
            </w:tcMar>
            <w:vAlign w:val="center"/>
          </w:tcPr>
          <w:p w14:paraId="740132B8" w14:textId="77777777" w:rsidR="00C9284F" w:rsidRDefault="00636D83">
            <w:pPr>
              <w:keepNext/>
              <w:keepLines/>
              <w:spacing w:after="0" w:line="240" w:lineRule="auto"/>
              <w:jc w:val="right"/>
            </w:pPr>
            <w:r>
              <w:rPr>
                <w:b/>
                <w:sz w:val="18"/>
              </w:rPr>
              <w:t>686.350,53</w:t>
            </w:r>
          </w:p>
        </w:tc>
        <w:tc>
          <w:tcPr>
            <w:tcW w:w="700" w:type="dxa"/>
            <w:tcMar>
              <w:top w:w="0" w:type="dxa"/>
              <w:bottom w:w="0" w:type="dxa"/>
            </w:tcMar>
            <w:vAlign w:val="center"/>
          </w:tcPr>
          <w:p w14:paraId="6D03BE3E" w14:textId="77777777" w:rsidR="00C9284F" w:rsidRDefault="00636D83">
            <w:pPr>
              <w:keepNext/>
              <w:keepLines/>
              <w:spacing w:after="0" w:line="240" w:lineRule="auto"/>
              <w:jc w:val="right"/>
            </w:pPr>
            <w:r>
              <w:rPr>
                <w:b/>
                <w:sz w:val="18"/>
              </w:rPr>
              <w:t>39,0</w:t>
            </w:r>
          </w:p>
        </w:tc>
      </w:tr>
      <w:tr w:rsidR="00C9284F" w14:paraId="1E0592D1" w14:textId="77777777">
        <w:tblPrEx>
          <w:tblCellMar>
            <w:top w:w="0" w:type="dxa"/>
            <w:bottom w:w="0" w:type="dxa"/>
          </w:tblCellMar>
        </w:tblPrEx>
        <w:trPr>
          <w:cantSplit/>
          <w:trHeight w:val="560"/>
        </w:trPr>
        <w:tc>
          <w:tcPr>
            <w:tcW w:w="700" w:type="dxa"/>
            <w:tcMar>
              <w:top w:w="0" w:type="dxa"/>
              <w:bottom w:w="0" w:type="dxa"/>
            </w:tcMar>
            <w:vAlign w:val="center"/>
          </w:tcPr>
          <w:p w14:paraId="5CB3557E" w14:textId="77777777" w:rsidR="00C9284F" w:rsidRDefault="00636D83">
            <w:pPr>
              <w:keepNext/>
              <w:keepLines/>
              <w:spacing w:after="0" w:line="240" w:lineRule="auto"/>
            </w:pPr>
            <w:r>
              <w:rPr>
                <w:sz w:val="18"/>
              </w:rPr>
              <w:t>8</w:t>
            </w:r>
          </w:p>
        </w:tc>
        <w:tc>
          <w:tcPr>
            <w:tcW w:w="3180" w:type="dxa"/>
            <w:tcMar>
              <w:top w:w="0" w:type="dxa"/>
              <w:bottom w:w="0" w:type="dxa"/>
            </w:tcMar>
            <w:vAlign w:val="center"/>
          </w:tcPr>
          <w:p w14:paraId="66E399D7" w14:textId="77777777" w:rsidR="00C9284F" w:rsidRDefault="00636D83">
            <w:pPr>
              <w:keepNext/>
              <w:keepLines/>
              <w:spacing w:after="0" w:line="240" w:lineRule="auto"/>
            </w:pPr>
            <w:r>
              <w:rPr>
                <w:sz w:val="18"/>
              </w:rPr>
              <w:t xml:space="preserve">Primici od </w:t>
            </w:r>
            <w:r>
              <w:rPr>
                <w:sz w:val="18"/>
              </w:rPr>
              <w:t>financijske imovine i zaduživanja (šifre 81+82+83+84+85)</w:t>
            </w:r>
          </w:p>
        </w:tc>
        <w:tc>
          <w:tcPr>
            <w:tcW w:w="700" w:type="dxa"/>
            <w:tcMar>
              <w:top w:w="0" w:type="dxa"/>
              <w:bottom w:w="0" w:type="dxa"/>
            </w:tcMar>
            <w:vAlign w:val="center"/>
          </w:tcPr>
          <w:p w14:paraId="4491A97E" w14:textId="77777777" w:rsidR="00C9284F" w:rsidRDefault="00636D83">
            <w:pPr>
              <w:keepNext/>
              <w:keepLines/>
              <w:spacing w:after="0" w:line="240" w:lineRule="auto"/>
            </w:pPr>
            <w:r>
              <w:rPr>
                <w:sz w:val="18"/>
              </w:rPr>
              <w:t>8</w:t>
            </w:r>
          </w:p>
        </w:tc>
        <w:tc>
          <w:tcPr>
            <w:tcW w:w="1860" w:type="dxa"/>
            <w:tcMar>
              <w:top w:w="0" w:type="dxa"/>
              <w:bottom w:w="0" w:type="dxa"/>
            </w:tcMar>
            <w:vAlign w:val="center"/>
          </w:tcPr>
          <w:p w14:paraId="23201F31" w14:textId="77777777" w:rsidR="00C9284F" w:rsidRDefault="00636D83">
            <w:pPr>
              <w:keepNext/>
              <w:keepLines/>
              <w:spacing w:after="0" w:line="240" w:lineRule="auto"/>
              <w:jc w:val="right"/>
            </w:pPr>
            <w:r>
              <w:rPr>
                <w:sz w:val="18"/>
              </w:rPr>
              <w:t>0,00</w:t>
            </w:r>
          </w:p>
        </w:tc>
        <w:tc>
          <w:tcPr>
            <w:tcW w:w="1860" w:type="dxa"/>
            <w:tcMar>
              <w:top w:w="0" w:type="dxa"/>
              <w:bottom w:w="0" w:type="dxa"/>
            </w:tcMar>
            <w:vAlign w:val="center"/>
          </w:tcPr>
          <w:p w14:paraId="22595B2B" w14:textId="77777777" w:rsidR="00C9284F" w:rsidRDefault="00636D83">
            <w:pPr>
              <w:keepNext/>
              <w:keepLines/>
              <w:spacing w:after="0" w:line="240" w:lineRule="auto"/>
              <w:jc w:val="right"/>
            </w:pPr>
            <w:r>
              <w:rPr>
                <w:sz w:val="18"/>
              </w:rPr>
              <w:t>591.217,83</w:t>
            </w:r>
          </w:p>
        </w:tc>
        <w:tc>
          <w:tcPr>
            <w:tcW w:w="700" w:type="dxa"/>
            <w:tcMar>
              <w:top w:w="0" w:type="dxa"/>
              <w:bottom w:w="0" w:type="dxa"/>
            </w:tcMar>
            <w:vAlign w:val="center"/>
          </w:tcPr>
          <w:p w14:paraId="590B3538" w14:textId="77777777" w:rsidR="00C9284F" w:rsidRDefault="00636D83">
            <w:pPr>
              <w:keepNext/>
              <w:keepLines/>
              <w:spacing w:after="0" w:line="240" w:lineRule="auto"/>
              <w:jc w:val="right"/>
            </w:pPr>
            <w:r>
              <w:rPr>
                <w:sz w:val="18"/>
              </w:rPr>
              <w:t>-</w:t>
            </w:r>
          </w:p>
        </w:tc>
      </w:tr>
      <w:tr w:rsidR="00C9284F" w14:paraId="732E171D" w14:textId="77777777">
        <w:tblPrEx>
          <w:tblCellMar>
            <w:top w:w="0" w:type="dxa"/>
            <w:bottom w:w="0" w:type="dxa"/>
          </w:tblCellMar>
        </w:tblPrEx>
        <w:trPr>
          <w:cantSplit/>
          <w:trHeight w:val="560"/>
        </w:trPr>
        <w:tc>
          <w:tcPr>
            <w:tcW w:w="700" w:type="dxa"/>
            <w:tcMar>
              <w:top w:w="0" w:type="dxa"/>
              <w:bottom w:w="0" w:type="dxa"/>
            </w:tcMar>
            <w:vAlign w:val="center"/>
          </w:tcPr>
          <w:p w14:paraId="56DE1DDD" w14:textId="77777777" w:rsidR="00C9284F" w:rsidRDefault="00636D83">
            <w:pPr>
              <w:keepNext/>
              <w:keepLines/>
              <w:spacing w:after="0" w:line="240" w:lineRule="auto"/>
            </w:pPr>
            <w:r>
              <w:rPr>
                <w:sz w:val="18"/>
              </w:rPr>
              <w:t>5</w:t>
            </w:r>
          </w:p>
        </w:tc>
        <w:tc>
          <w:tcPr>
            <w:tcW w:w="3180" w:type="dxa"/>
            <w:tcMar>
              <w:top w:w="0" w:type="dxa"/>
              <w:bottom w:w="0" w:type="dxa"/>
            </w:tcMar>
            <w:vAlign w:val="center"/>
          </w:tcPr>
          <w:p w14:paraId="222C7B22" w14:textId="77777777" w:rsidR="00C9284F" w:rsidRDefault="00636D83">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F7C84A5" w14:textId="77777777" w:rsidR="00C9284F" w:rsidRDefault="00636D83">
            <w:pPr>
              <w:keepNext/>
              <w:keepLines/>
              <w:spacing w:after="0" w:line="240" w:lineRule="auto"/>
            </w:pPr>
            <w:r>
              <w:rPr>
                <w:sz w:val="18"/>
              </w:rPr>
              <w:t>5</w:t>
            </w:r>
          </w:p>
        </w:tc>
        <w:tc>
          <w:tcPr>
            <w:tcW w:w="1860" w:type="dxa"/>
            <w:tcMar>
              <w:top w:w="0" w:type="dxa"/>
              <w:bottom w:w="0" w:type="dxa"/>
            </w:tcMar>
            <w:vAlign w:val="center"/>
          </w:tcPr>
          <w:p w14:paraId="06F977C0" w14:textId="77777777" w:rsidR="00C9284F" w:rsidRDefault="00636D83">
            <w:pPr>
              <w:keepNext/>
              <w:keepLines/>
              <w:spacing w:after="0" w:line="240" w:lineRule="auto"/>
              <w:jc w:val="right"/>
            </w:pPr>
            <w:r>
              <w:rPr>
                <w:sz w:val="18"/>
              </w:rPr>
              <w:t>68.113,70</w:t>
            </w:r>
          </w:p>
        </w:tc>
        <w:tc>
          <w:tcPr>
            <w:tcW w:w="1860" w:type="dxa"/>
            <w:tcMar>
              <w:top w:w="0" w:type="dxa"/>
              <w:bottom w:w="0" w:type="dxa"/>
            </w:tcMar>
            <w:vAlign w:val="center"/>
          </w:tcPr>
          <w:p w14:paraId="2B73B101" w14:textId="77777777" w:rsidR="00C9284F" w:rsidRDefault="00636D83">
            <w:pPr>
              <w:keepNext/>
              <w:keepLines/>
              <w:spacing w:after="0" w:line="240" w:lineRule="auto"/>
              <w:jc w:val="right"/>
            </w:pPr>
            <w:r>
              <w:rPr>
                <w:sz w:val="18"/>
              </w:rPr>
              <w:t>96.827,13</w:t>
            </w:r>
          </w:p>
        </w:tc>
        <w:tc>
          <w:tcPr>
            <w:tcW w:w="700" w:type="dxa"/>
            <w:tcMar>
              <w:top w:w="0" w:type="dxa"/>
              <w:bottom w:w="0" w:type="dxa"/>
            </w:tcMar>
            <w:vAlign w:val="center"/>
          </w:tcPr>
          <w:p w14:paraId="105A4C4E" w14:textId="77777777" w:rsidR="00C9284F" w:rsidRDefault="00636D83">
            <w:pPr>
              <w:keepNext/>
              <w:keepLines/>
              <w:spacing w:after="0" w:line="240" w:lineRule="auto"/>
              <w:jc w:val="right"/>
            </w:pPr>
            <w:r>
              <w:rPr>
                <w:sz w:val="18"/>
              </w:rPr>
              <w:t>142,2</w:t>
            </w:r>
          </w:p>
        </w:tc>
      </w:tr>
      <w:tr w:rsidR="00C9284F" w14:paraId="2F18AF89" w14:textId="77777777">
        <w:tblPrEx>
          <w:tblCellMar>
            <w:top w:w="0" w:type="dxa"/>
            <w:bottom w:w="0" w:type="dxa"/>
          </w:tblCellMar>
        </w:tblPrEx>
        <w:trPr>
          <w:cantSplit/>
          <w:trHeight w:val="560"/>
        </w:trPr>
        <w:tc>
          <w:tcPr>
            <w:tcW w:w="700" w:type="dxa"/>
            <w:tcMar>
              <w:top w:w="0" w:type="dxa"/>
              <w:bottom w:w="0" w:type="dxa"/>
            </w:tcMar>
            <w:vAlign w:val="center"/>
          </w:tcPr>
          <w:p w14:paraId="4A399804" w14:textId="77777777" w:rsidR="00C9284F" w:rsidRDefault="00C9284F">
            <w:pPr>
              <w:keepNext/>
              <w:keepLines/>
              <w:spacing w:after="0" w:line="240" w:lineRule="auto"/>
            </w:pPr>
          </w:p>
        </w:tc>
        <w:tc>
          <w:tcPr>
            <w:tcW w:w="3180" w:type="dxa"/>
            <w:tcMar>
              <w:top w:w="0" w:type="dxa"/>
              <w:bottom w:w="0" w:type="dxa"/>
            </w:tcMar>
            <w:vAlign w:val="center"/>
          </w:tcPr>
          <w:p w14:paraId="1E899B43" w14:textId="77777777" w:rsidR="00C9284F" w:rsidRDefault="00636D83">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20160999" w14:textId="77777777" w:rsidR="00C9284F" w:rsidRDefault="00636D83">
            <w:pPr>
              <w:keepNext/>
              <w:keepLines/>
              <w:spacing w:after="0" w:line="240" w:lineRule="auto"/>
            </w:pPr>
            <w:r>
              <w:rPr>
                <w:b/>
                <w:sz w:val="18"/>
              </w:rPr>
              <w:t>X003</w:t>
            </w:r>
          </w:p>
        </w:tc>
        <w:tc>
          <w:tcPr>
            <w:tcW w:w="1860" w:type="dxa"/>
            <w:tcMar>
              <w:top w:w="0" w:type="dxa"/>
              <w:bottom w:w="0" w:type="dxa"/>
            </w:tcMar>
            <w:vAlign w:val="center"/>
          </w:tcPr>
          <w:p w14:paraId="087AE52A" w14:textId="77777777" w:rsidR="00C9284F" w:rsidRDefault="00636D83">
            <w:pPr>
              <w:keepNext/>
              <w:keepLines/>
              <w:spacing w:after="0" w:line="240" w:lineRule="auto"/>
              <w:jc w:val="right"/>
            </w:pPr>
            <w:r>
              <w:rPr>
                <w:b/>
                <w:sz w:val="18"/>
              </w:rPr>
              <w:t>0,00</w:t>
            </w:r>
          </w:p>
        </w:tc>
        <w:tc>
          <w:tcPr>
            <w:tcW w:w="1860" w:type="dxa"/>
            <w:tcMar>
              <w:top w:w="0" w:type="dxa"/>
              <w:bottom w:w="0" w:type="dxa"/>
            </w:tcMar>
            <w:vAlign w:val="center"/>
          </w:tcPr>
          <w:p w14:paraId="6DB620AC" w14:textId="77777777" w:rsidR="00C9284F" w:rsidRDefault="00636D83">
            <w:pPr>
              <w:keepNext/>
              <w:keepLines/>
              <w:spacing w:after="0" w:line="240" w:lineRule="auto"/>
              <w:jc w:val="right"/>
            </w:pPr>
            <w:r>
              <w:rPr>
                <w:b/>
                <w:sz w:val="18"/>
              </w:rPr>
              <w:t>494.390,70</w:t>
            </w:r>
          </w:p>
        </w:tc>
        <w:tc>
          <w:tcPr>
            <w:tcW w:w="700" w:type="dxa"/>
            <w:tcMar>
              <w:top w:w="0" w:type="dxa"/>
              <w:bottom w:w="0" w:type="dxa"/>
            </w:tcMar>
            <w:vAlign w:val="center"/>
          </w:tcPr>
          <w:p w14:paraId="7F104AF6" w14:textId="77777777" w:rsidR="00C9284F" w:rsidRDefault="00636D83">
            <w:pPr>
              <w:keepNext/>
              <w:keepLines/>
              <w:spacing w:after="0" w:line="240" w:lineRule="auto"/>
              <w:jc w:val="right"/>
            </w:pPr>
            <w:r>
              <w:rPr>
                <w:b/>
                <w:sz w:val="18"/>
              </w:rPr>
              <w:t>-</w:t>
            </w:r>
          </w:p>
        </w:tc>
      </w:tr>
      <w:tr w:rsidR="00C9284F" w14:paraId="42CDB106" w14:textId="77777777">
        <w:tblPrEx>
          <w:tblCellMar>
            <w:top w:w="0" w:type="dxa"/>
            <w:bottom w:w="0" w:type="dxa"/>
          </w:tblCellMar>
        </w:tblPrEx>
        <w:trPr>
          <w:cantSplit/>
          <w:trHeight w:val="560"/>
        </w:trPr>
        <w:tc>
          <w:tcPr>
            <w:tcW w:w="700" w:type="dxa"/>
            <w:tcMar>
              <w:top w:w="0" w:type="dxa"/>
              <w:bottom w:w="0" w:type="dxa"/>
            </w:tcMar>
            <w:vAlign w:val="center"/>
          </w:tcPr>
          <w:p w14:paraId="6112F176" w14:textId="77777777" w:rsidR="00C9284F" w:rsidRDefault="00C9284F">
            <w:pPr>
              <w:keepNext/>
              <w:keepLines/>
              <w:spacing w:after="0" w:line="240" w:lineRule="auto"/>
            </w:pPr>
          </w:p>
        </w:tc>
        <w:tc>
          <w:tcPr>
            <w:tcW w:w="3180" w:type="dxa"/>
            <w:tcMar>
              <w:top w:w="0" w:type="dxa"/>
              <w:bottom w:w="0" w:type="dxa"/>
            </w:tcMar>
            <w:vAlign w:val="center"/>
          </w:tcPr>
          <w:p w14:paraId="2EC61BC7" w14:textId="77777777" w:rsidR="00C9284F" w:rsidRDefault="00636D83">
            <w:pPr>
              <w:keepNext/>
              <w:keepLines/>
              <w:spacing w:after="0" w:line="240" w:lineRule="auto"/>
            </w:pPr>
            <w:r>
              <w:rPr>
                <w:b/>
                <w:sz w:val="18"/>
              </w:rPr>
              <w:t>MANJAK PRIHODA I PRIMITAKA (šifre Y345-X678)</w:t>
            </w:r>
          </w:p>
        </w:tc>
        <w:tc>
          <w:tcPr>
            <w:tcW w:w="700" w:type="dxa"/>
            <w:tcMar>
              <w:top w:w="0" w:type="dxa"/>
              <w:bottom w:w="0" w:type="dxa"/>
            </w:tcMar>
            <w:vAlign w:val="center"/>
          </w:tcPr>
          <w:p w14:paraId="012467F4" w14:textId="77777777" w:rsidR="00C9284F" w:rsidRDefault="00636D83">
            <w:pPr>
              <w:keepNext/>
              <w:keepLines/>
              <w:spacing w:after="0" w:line="240" w:lineRule="auto"/>
            </w:pPr>
            <w:r>
              <w:rPr>
                <w:b/>
                <w:sz w:val="18"/>
              </w:rPr>
              <w:t>Y005</w:t>
            </w:r>
          </w:p>
        </w:tc>
        <w:tc>
          <w:tcPr>
            <w:tcW w:w="1860" w:type="dxa"/>
            <w:tcMar>
              <w:top w:w="0" w:type="dxa"/>
              <w:bottom w:w="0" w:type="dxa"/>
            </w:tcMar>
            <w:vAlign w:val="center"/>
          </w:tcPr>
          <w:p w14:paraId="6CB4BA21" w14:textId="77777777" w:rsidR="00C9284F" w:rsidRDefault="00636D83">
            <w:pPr>
              <w:keepNext/>
              <w:keepLines/>
              <w:spacing w:after="0" w:line="240" w:lineRule="auto"/>
              <w:jc w:val="right"/>
            </w:pPr>
            <w:r>
              <w:rPr>
                <w:b/>
                <w:sz w:val="18"/>
              </w:rPr>
              <w:t>0,00</w:t>
            </w:r>
          </w:p>
        </w:tc>
        <w:tc>
          <w:tcPr>
            <w:tcW w:w="1860" w:type="dxa"/>
            <w:tcMar>
              <w:top w:w="0" w:type="dxa"/>
              <w:bottom w:w="0" w:type="dxa"/>
            </w:tcMar>
            <w:vAlign w:val="center"/>
          </w:tcPr>
          <w:p w14:paraId="6C55708F" w14:textId="77777777" w:rsidR="00C9284F" w:rsidRDefault="00636D83">
            <w:pPr>
              <w:keepNext/>
              <w:keepLines/>
              <w:spacing w:after="0" w:line="240" w:lineRule="auto"/>
              <w:jc w:val="right"/>
            </w:pPr>
            <w:r>
              <w:rPr>
                <w:b/>
                <w:sz w:val="18"/>
              </w:rPr>
              <w:t>289.455,02</w:t>
            </w:r>
          </w:p>
        </w:tc>
        <w:tc>
          <w:tcPr>
            <w:tcW w:w="700" w:type="dxa"/>
            <w:tcMar>
              <w:top w:w="0" w:type="dxa"/>
              <w:bottom w:w="0" w:type="dxa"/>
            </w:tcMar>
            <w:vAlign w:val="center"/>
          </w:tcPr>
          <w:p w14:paraId="24CC0AF9" w14:textId="77777777" w:rsidR="00C9284F" w:rsidRDefault="00636D83">
            <w:pPr>
              <w:keepNext/>
              <w:keepLines/>
              <w:spacing w:after="0" w:line="240" w:lineRule="auto"/>
              <w:jc w:val="right"/>
            </w:pPr>
            <w:r>
              <w:rPr>
                <w:b/>
                <w:sz w:val="18"/>
              </w:rPr>
              <w:t>-</w:t>
            </w:r>
          </w:p>
        </w:tc>
      </w:tr>
    </w:tbl>
    <w:p w14:paraId="680D005B" w14:textId="77777777" w:rsidR="00C9284F" w:rsidRDefault="00C9284F">
      <w:pPr>
        <w:spacing w:after="0"/>
      </w:pPr>
    </w:p>
    <w:p w14:paraId="55D38058" w14:textId="77777777" w:rsidR="00C9284F" w:rsidRDefault="00636D83">
      <w:r>
        <w:t>U razdoblju od 01. siječnja do 31. prosinca 2025. godine prihodi poslovanja ostvareni su u iznosu od 6.721.791,57 EUR. Struktura prihoda poslovanja je slijedeća: </w:t>
      </w:r>
    </w:p>
    <w:p w14:paraId="2DEF8F47" w14:textId="77777777" w:rsidR="00C9284F" w:rsidRDefault="00636D83">
      <w:r>
        <w:t>-          Na izvoru financiranja 11 Opći prihodi i primici – 6.371.627,75 EUR</w:t>
      </w:r>
    </w:p>
    <w:p w14:paraId="5A58726E" w14:textId="77777777" w:rsidR="00C9284F" w:rsidRDefault="00636D83">
      <w:r>
        <w:t>-          Na izvoru financiranja 31 Vlastiti prihodi – 350.163,82 eura. </w:t>
      </w:r>
    </w:p>
    <w:p w14:paraId="0E2AC56C" w14:textId="77777777" w:rsidR="00C9284F" w:rsidRDefault="00636D83">
      <w:r>
        <w:lastRenderedPageBreak/>
        <w:t>Sredstva se odnose na naplatu ugostiteljskih usluga u internoj službi ugostiteljstva u iznosu 331.788,62 EUR, najma prostora za obavljanje zdravstvenih usluga u iznosu 14.875,20 EUR te najma prostora za telekomunikacijsku infrastrukturu u iznosu 3.500,00 EUR. </w:t>
      </w:r>
    </w:p>
    <w:p w14:paraId="19E48373" w14:textId="77777777" w:rsidR="00C9284F" w:rsidRDefault="00636D83">
      <w:r>
        <w:t> </w:t>
      </w:r>
    </w:p>
    <w:p w14:paraId="6E9383A1" w14:textId="77777777" w:rsidR="00C9284F" w:rsidRDefault="00636D83">
      <w:r>
        <w:t>Smanjenje prihoda poslovanja ostvareno je od Prihoda iz nadležnog proračuna za financiranje rashoda poslovanja te od Prihoda iz nadležnog proračuna za financiranje rashoda za nabavu nefinancijske imovine. Smanjenje je posljedica završetka radova obnove palače Bužan od posljedica potresa te ostalih popratnih troškova vezanih uz navedeno.</w:t>
      </w:r>
    </w:p>
    <w:p w14:paraId="2C2DA1D0" w14:textId="77777777" w:rsidR="00C9284F" w:rsidRDefault="00636D83">
      <w:r>
        <w:t>Rashodi poslovanja u razdoblju od 01. siječnja do 31. prosinca 2025. godine ostvareni su u iznosu od 6.818.351,06 EUR. </w:t>
      </w:r>
    </w:p>
    <w:p w14:paraId="6DA578CF" w14:textId="77777777" w:rsidR="00C9284F" w:rsidRDefault="00636D83">
      <w:r>
        <w:t>Najznačajnije povećanje rashoda poslovanja evidentirano je na:</w:t>
      </w:r>
    </w:p>
    <w:p w14:paraId="00188BA6" w14:textId="77777777" w:rsidR="00C9284F" w:rsidRDefault="00636D83">
      <w:r>
        <w:t>-          Rashodima za zaposlene uslijed povećanja plaća</w:t>
      </w:r>
    </w:p>
    <w:p w14:paraId="48B208E4" w14:textId="77777777" w:rsidR="00C9284F" w:rsidRDefault="00636D83">
      <w:r>
        <w:t>-          Financijskim rashodima uslijed ugovaranja novog financijskog leasinga za 9 službenih automobila</w:t>
      </w:r>
    </w:p>
    <w:p w14:paraId="710BE566" w14:textId="77777777" w:rsidR="00C9284F" w:rsidRDefault="00636D83">
      <w:r>
        <w:t>-          Rashodima za donacije, kazne, naknade štete i kapitalnih pomoći zbog ugovorne kazne za kategoriju korisnika koji nije kućanstvo sukladno Odluci Zagrebačkog holdinga o ugovornoj kazni.</w:t>
      </w:r>
    </w:p>
    <w:p w14:paraId="706C67F9" w14:textId="77777777" w:rsidR="00C9284F" w:rsidRDefault="00636D83">
      <w:r>
        <w:t> </w:t>
      </w:r>
    </w:p>
    <w:p w14:paraId="09DDA748" w14:textId="77777777" w:rsidR="00C9284F" w:rsidRDefault="00636D83">
      <w:r>
        <w:t>Najznačajnije smanjenje rashoda poslovanja evidentirano je na materijalnim rashodima zbog završetka radova obnove palače Bužan od posljedica potresa te ostalih popratnih troškova vezanih uz navedeno kao i na Naknadama građanima i kućanstvima na temelju osiguranja i drugim naknadama uslijed smanjenja broja djelatnika kojima Ured podmiruje dodatna školovanja.</w:t>
      </w:r>
    </w:p>
    <w:p w14:paraId="17673752" w14:textId="77777777" w:rsidR="00C9284F" w:rsidRDefault="00636D83">
      <w:r>
        <w:t> </w:t>
      </w:r>
    </w:p>
    <w:p w14:paraId="6DC2072C" w14:textId="77777777" w:rsidR="00C9284F" w:rsidRDefault="00636D83">
      <w:r>
        <w:t>Odstupanja pojedinih proračunskih pozicija u okviru rashoda objašnjena su u zasebnim bilješkama. </w:t>
      </w:r>
    </w:p>
    <w:p w14:paraId="479A20A4" w14:textId="77777777" w:rsidR="00C9284F" w:rsidRDefault="00636D83">
      <w:r>
        <w:t> </w:t>
      </w:r>
    </w:p>
    <w:p w14:paraId="7EE2FE94" w14:textId="77777777" w:rsidR="00C9284F" w:rsidRDefault="00636D83">
      <w:r>
        <w:t>U navedenom razdoblju nema ostvarenih prihoda od prodaje nefinancijske imovine, dok su rashodi za nabavu nefinancijske imovine ostvareni u iznosu od 686.350,53 EUR. Navedeni rashod odnosi se na nabavu računalne i druge opreme te prijevoznih sredstava putem financijskog leasinga.</w:t>
      </w:r>
    </w:p>
    <w:p w14:paraId="654D6D26" w14:textId="77777777" w:rsidR="00C9284F" w:rsidRDefault="00636D83">
      <w:r>
        <w:t> </w:t>
      </w:r>
    </w:p>
    <w:p w14:paraId="66612E88" w14:textId="77777777" w:rsidR="00C9284F" w:rsidRDefault="00636D83">
      <w:r>
        <w:t>U navedenom razdoblju ostvareni su primitci od financijske imovine i zaduživanja u iznosu od 591.217,83 EUR zbog knjigovodstvenog evidentiranja ukupnog iznosa za 9 službenih automobila nabavljenih putem financijskog leasinga s rokom otplate na 5 godina, dok su Izdaci za financijsku imovinu i otplatu zajmova ostvareni u iznosu od 96.827,13 EUR.</w:t>
      </w:r>
    </w:p>
    <w:p w14:paraId="39430E8B" w14:textId="77777777" w:rsidR="00C9284F" w:rsidRDefault="00636D83">
      <w:r>
        <w:lastRenderedPageBreak/>
        <w:t> </w:t>
      </w:r>
    </w:p>
    <w:p w14:paraId="5C91BCFE" w14:textId="77777777" w:rsidR="00C9284F" w:rsidRDefault="00636D83">
      <w:r>
        <w:t>U razdoblju od 01. siječnja do 31. prosinca 2025. godine ostvaren je manjak prihoda poslovanja u iznosu od 96.559,49 EUR, manjak prihoda od nefinancijske imovine u iznosu od 686.350,53 EUR, višak primitaka od zaduživanja u iznosu 494.390,70 EUR slijedom čega je na kraju izvještajnog razdoblja ostvaren ukupan manjak prihoda i primitaka u iznosu od 288.519,32 EUR.</w:t>
      </w:r>
    </w:p>
    <w:p w14:paraId="5E0C3596" w14:textId="77777777" w:rsidR="00C9284F" w:rsidRDefault="00636D83">
      <w:r>
        <w:br/>
      </w:r>
    </w:p>
    <w:p w14:paraId="1570A91D" w14:textId="77777777" w:rsidR="00C9284F" w:rsidRDefault="00636D83">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09EBFC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148D69"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81C0C0"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CC43CB"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518583"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7BA000"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B5D652" w14:textId="77777777" w:rsidR="00C9284F" w:rsidRDefault="00636D83">
            <w:pPr>
              <w:keepNext/>
              <w:keepLines/>
              <w:spacing w:after="0" w:line="240" w:lineRule="auto"/>
              <w:jc w:val="center"/>
            </w:pPr>
            <w:r>
              <w:rPr>
                <w:b/>
                <w:sz w:val="18"/>
              </w:rPr>
              <w:t>Indeks (%)</w:t>
            </w:r>
          </w:p>
        </w:tc>
      </w:tr>
      <w:tr w:rsidR="00C9284F" w14:paraId="0F07D079" w14:textId="77777777">
        <w:tblPrEx>
          <w:tblCellMar>
            <w:top w:w="0" w:type="dxa"/>
            <w:bottom w:w="0" w:type="dxa"/>
          </w:tblCellMar>
        </w:tblPrEx>
        <w:trPr>
          <w:cantSplit/>
          <w:trHeight w:val="560"/>
        </w:trPr>
        <w:tc>
          <w:tcPr>
            <w:tcW w:w="700" w:type="dxa"/>
            <w:tcMar>
              <w:top w:w="0" w:type="dxa"/>
              <w:bottom w:w="0" w:type="dxa"/>
            </w:tcMar>
            <w:vAlign w:val="center"/>
          </w:tcPr>
          <w:p w14:paraId="3D326182" w14:textId="77777777" w:rsidR="00C9284F" w:rsidRDefault="00636D83">
            <w:pPr>
              <w:keepNext/>
              <w:keepLines/>
              <w:spacing w:after="0" w:line="240" w:lineRule="auto"/>
            </w:pPr>
            <w:r>
              <w:rPr>
                <w:sz w:val="18"/>
              </w:rPr>
              <w:t>3211</w:t>
            </w:r>
          </w:p>
        </w:tc>
        <w:tc>
          <w:tcPr>
            <w:tcW w:w="3180" w:type="dxa"/>
            <w:tcMar>
              <w:top w:w="0" w:type="dxa"/>
              <w:bottom w:w="0" w:type="dxa"/>
            </w:tcMar>
            <w:vAlign w:val="center"/>
          </w:tcPr>
          <w:p w14:paraId="50D394B0" w14:textId="77777777" w:rsidR="00C9284F" w:rsidRDefault="00636D83">
            <w:pPr>
              <w:keepNext/>
              <w:keepLines/>
              <w:spacing w:after="0" w:line="240" w:lineRule="auto"/>
            </w:pPr>
            <w:r>
              <w:rPr>
                <w:sz w:val="18"/>
              </w:rPr>
              <w:t>Službena putovanja</w:t>
            </w:r>
          </w:p>
        </w:tc>
        <w:tc>
          <w:tcPr>
            <w:tcW w:w="700" w:type="dxa"/>
            <w:tcMar>
              <w:top w:w="0" w:type="dxa"/>
              <w:bottom w:w="0" w:type="dxa"/>
            </w:tcMar>
            <w:vAlign w:val="center"/>
          </w:tcPr>
          <w:p w14:paraId="5FFC0352" w14:textId="77777777" w:rsidR="00C9284F" w:rsidRDefault="00636D83">
            <w:pPr>
              <w:keepNext/>
              <w:keepLines/>
              <w:spacing w:after="0" w:line="240" w:lineRule="auto"/>
            </w:pPr>
            <w:r>
              <w:rPr>
                <w:sz w:val="18"/>
              </w:rPr>
              <w:t>3211</w:t>
            </w:r>
          </w:p>
        </w:tc>
        <w:tc>
          <w:tcPr>
            <w:tcW w:w="1860" w:type="dxa"/>
            <w:tcMar>
              <w:top w:w="0" w:type="dxa"/>
              <w:bottom w:w="0" w:type="dxa"/>
            </w:tcMar>
            <w:vAlign w:val="center"/>
          </w:tcPr>
          <w:p w14:paraId="62184365" w14:textId="77777777" w:rsidR="00C9284F" w:rsidRDefault="00636D83">
            <w:pPr>
              <w:keepNext/>
              <w:keepLines/>
              <w:spacing w:after="0" w:line="240" w:lineRule="auto"/>
              <w:jc w:val="right"/>
            </w:pPr>
            <w:r>
              <w:rPr>
                <w:sz w:val="18"/>
              </w:rPr>
              <w:t>36.271,96</w:t>
            </w:r>
          </w:p>
        </w:tc>
        <w:tc>
          <w:tcPr>
            <w:tcW w:w="1860" w:type="dxa"/>
            <w:tcMar>
              <w:top w:w="0" w:type="dxa"/>
              <w:bottom w:w="0" w:type="dxa"/>
            </w:tcMar>
            <w:vAlign w:val="center"/>
          </w:tcPr>
          <w:p w14:paraId="57DE5507" w14:textId="77777777" w:rsidR="00C9284F" w:rsidRDefault="00636D83">
            <w:pPr>
              <w:keepNext/>
              <w:keepLines/>
              <w:spacing w:after="0" w:line="240" w:lineRule="auto"/>
              <w:jc w:val="right"/>
            </w:pPr>
            <w:r>
              <w:rPr>
                <w:sz w:val="18"/>
              </w:rPr>
              <w:t>50.181,24</w:t>
            </w:r>
          </w:p>
        </w:tc>
        <w:tc>
          <w:tcPr>
            <w:tcW w:w="700" w:type="dxa"/>
            <w:tcMar>
              <w:top w:w="0" w:type="dxa"/>
              <w:bottom w:w="0" w:type="dxa"/>
            </w:tcMar>
            <w:vAlign w:val="center"/>
          </w:tcPr>
          <w:p w14:paraId="0770D77F" w14:textId="77777777" w:rsidR="00C9284F" w:rsidRDefault="00636D83">
            <w:pPr>
              <w:keepNext/>
              <w:keepLines/>
              <w:spacing w:after="0" w:line="240" w:lineRule="auto"/>
              <w:jc w:val="right"/>
            </w:pPr>
            <w:r>
              <w:rPr>
                <w:sz w:val="18"/>
              </w:rPr>
              <w:t>138,3</w:t>
            </w:r>
          </w:p>
        </w:tc>
      </w:tr>
    </w:tbl>
    <w:p w14:paraId="39D56150" w14:textId="77777777" w:rsidR="00C9284F" w:rsidRDefault="00C9284F">
      <w:pPr>
        <w:spacing w:after="0"/>
      </w:pPr>
    </w:p>
    <w:p w14:paraId="4A030C1C" w14:textId="77777777" w:rsidR="00C9284F" w:rsidRDefault="00636D83">
      <w:r>
        <w:t>Do odstupanja od ostvarenja u izvještajnom razdoblju prethodne godine došlo je zbog povećanja troškova službenih putovanja u zemlji (dnevnice i troškovi smještaja). </w:t>
      </w:r>
    </w:p>
    <w:p w14:paraId="71F46409" w14:textId="77777777" w:rsidR="00C9284F" w:rsidRDefault="00C9284F"/>
    <w:p w14:paraId="47AEB39E" w14:textId="77777777" w:rsidR="00C9284F" w:rsidRDefault="00636D83">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4666E3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2D821A"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E4E0C9"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90417B"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2CE9F1"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17AFB8"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BD18A2" w14:textId="77777777" w:rsidR="00C9284F" w:rsidRDefault="00636D83">
            <w:pPr>
              <w:keepNext/>
              <w:keepLines/>
              <w:spacing w:after="0" w:line="240" w:lineRule="auto"/>
              <w:jc w:val="center"/>
            </w:pPr>
            <w:r>
              <w:rPr>
                <w:b/>
                <w:sz w:val="18"/>
              </w:rPr>
              <w:t>Indeks (%)</w:t>
            </w:r>
          </w:p>
        </w:tc>
      </w:tr>
      <w:tr w:rsidR="00C9284F" w14:paraId="253E4BBC" w14:textId="77777777">
        <w:tblPrEx>
          <w:tblCellMar>
            <w:top w:w="0" w:type="dxa"/>
            <w:bottom w:w="0" w:type="dxa"/>
          </w:tblCellMar>
        </w:tblPrEx>
        <w:trPr>
          <w:cantSplit/>
          <w:trHeight w:val="560"/>
        </w:trPr>
        <w:tc>
          <w:tcPr>
            <w:tcW w:w="700" w:type="dxa"/>
            <w:tcMar>
              <w:top w:w="0" w:type="dxa"/>
              <w:bottom w:w="0" w:type="dxa"/>
            </w:tcMar>
            <w:vAlign w:val="center"/>
          </w:tcPr>
          <w:p w14:paraId="74263DDD" w14:textId="77777777" w:rsidR="00C9284F" w:rsidRDefault="00636D83">
            <w:pPr>
              <w:keepNext/>
              <w:keepLines/>
              <w:spacing w:after="0" w:line="240" w:lineRule="auto"/>
            </w:pPr>
            <w:r>
              <w:rPr>
                <w:sz w:val="18"/>
              </w:rPr>
              <w:t>3213</w:t>
            </w:r>
          </w:p>
        </w:tc>
        <w:tc>
          <w:tcPr>
            <w:tcW w:w="3180" w:type="dxa"/>
            <w:tcMar>
              <w:top w:w="0" w:type="dxa"/>
              <w:bottom w:w="0" w:type="dxa"/>
            </w:tcMar>
            <w:vAlign w:val="center"/>
          </w:tcPr>
          <w:p w14:paraId="7A204589" w14:textId="77777777" w:rsidR="00C9284F" w:rsidRDefault="00636D83">
            <w:pPr>
              <w:keepNext/>
              <w:keepLines/>
              <w:spacing w:after="0" w:line="240" w:lineRule="auto"/>
            </w:pPr>
            <w:r>
              <w:rPr>
                <w:sz w:val="18"/>
              </w:rPr>
              <w:t>Stručno usavršavanje zaposlenika</w:t>
            </w:r>
          </w:p>
        </w:tc>
        <w:tc>
          <w:tcPr>
            <w:tcW w:w="700" w:type="dxa"/>
            <w:tcMar>
              <w:top w:w="0" w:type="dxa"/>
              <w:bottom w:w="0" w:type="dxa"/>
            </w:tcMar>
            <w:vAlign w:val="center"/>
          </w:tcPr>
          <w:p w14:paraId="43189B85" w14:textId="77777777" w:rsidR="00C9284F" w:rsidRDefault="00636D83">
            <w:pPr>
              <w:keepNext/>
              <w:keepLines/>
              <w:spacing w:after="0" w:line="240" w:lineRule="auto"/>
            </w:pPr>
            <w:r>
              <w:rPr>
                <w:sz w:val="18"/>
              </w:rPr>
              <w:t>3213</w:t>
            </w:r>
          </w:p>
        </w:tc>
        <w:tc>
          <w:tcPr>
            <w:tcW w:w="1860" w:type="dxa"/>
            <w:tcMar>
              <w:top w:w="0" w:type="dxa"/>
              <w:bottom w:w="0" w:type="dxa"/>
            </w:tcMar>
            <w:vAlign w:val="center"/>
          </w:tcPr>
          <w:p w14:paraId="221315CF" w14:textId="77777777" w:rsidR="00C9284F" w:rsidRDefault="00636D83">
            <w:pPr>
              <w:keepNext/>
              <w:keepLines/>
              <w:spacing w:after="0" w:line="240" w:lineRule="auto"/>
              <w:jc w:val="right"/>
            </w:pPr>
            <w:r>
              <w:rPr>
                <w:sz w:val="18"/>
              </w:rPr>
              <w:t>9.230,68</w:t>
            </w:r>
          </w:p>
        </w:tc>
        <w:tc>
          <w:tcPr>
            <w:tcW w:w="1860" w:type="dxa"/>
            <w:tcMar>
              <w:top w:w="0" w:type="dxa"/>
              <w:bottom w:w="0" w:type="dxa"/>
            </w:tcMar>
            <w:vAlign w:val="center"/>
          </w:tcPr>
          <w:p w14:paraId="51386D88" w14:textId="77777777" w:rsidR="00C9284F" w:rsidRDefault="00636D83">
            <w:pPr>
              <w:keepNext/>
              <w:keepLines/>
              <w:spacing w:after="0" w:line="240" w:lineRule="auto"/>
              <w:jc w:val="right"/>
            </w:pPr>
            <w:r>
              <w:rPr>
                <w:sz w:val="18"/>
              </w:rPr>
              <w:t>14.231,50</w:t>
            </w:r>
          </w:p>
        </w:tc>
        <w:tc>
          <w:tcPr>
            <w:tcW w:w="700" w:type="dxa"/>
            <w:tcMar>
              <w:top w:w="0" w:type="dxa"/>
              <w:bottom w:w="0" w:type="dxa"/>
            </w:tcMar>
            <w:vAlign w:val="center"/>
          </w:tcPr>
          <w:p w14:paraId="7CCED13F" w14:textId="77777777" w:rsidR="00C9284F" w:rsidRDefault="00636D83">
            <w:pPr>
              <w:keepNext/>
              <w:keepLines/>
              <w:spacing w:after="0" w:line="240" w:lineRule="auto"/>
              <w:jc w:val="right"/>
            </w:pPr>
            <w:r>
              <w:rPr>
                <w:sz w:val="18"/>
              </w:rPr>
              <w:t>154,2</w:t>
            </w:r>
          </w:p>
        </w:tc>
      </w:tr>
    </w:tbl>
    <w:p w14:paraId="61EC29DC" w14:textId="77777777" w:rsidR="00C9284F" w:rsidRDefault="00C9284F">
      <w:pPr>
        <w:spacing w:after="0"/>
      </w:pPr>
    </w:p>
    <w:p w14:paraId="3C0ED076" w14:textId="77777777" w:rsidR="00C9284F" w:rsidRDefault="00636D83">
      <w:r>
        <w:t>Do odstupanja od ostvarenja u izvještajnom razdoblju prethodne godine došlo je zbog edukacije o pružanju prve pomoći, edukacije iz worda i excela te tečaja higijenskog minimuma.</w:t>
      </w:r>
    </w:p>
    <w:p w14:paraId="1F601C28" w14:textId="77777777" w:rsidR="00C9284F" w:rsidRDefault="00C9284F"/>
    <w:p w14:paraId="4524E37A" w14:textId="77777777" w:rsidR="00C9284F" w:rsidRDefault="00636D83">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27B019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379AF5"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408876"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C00072"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DDC658"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0EE8E7"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09A29C" w14:textId="77777777" w:rsidR="00C9284F" w:rsidRDefault="00636D83">
            <w:pPr>
              <w:keepNext/>
              <w:keepLines/>
              <w:spacing w:after="0" w:line="240" w:lineRule="auto"/>
              <w:jc w:val="center"/>
            </w:pPr>
            <w:r>
              <w:rPr>
                <w:b/>
                <w:sz w:val="18"/>
              </w:rPr>
              <w:t>Indeks (%)</w:t>
            </w:r>
          </w:p>
        </w:tc>
      </w:tr>
      <w:tr w:rsidR="00C9284F" w14:paraId="7747E43A" w14:textId="77777777">
        <w:tblPrEx>
          <w:tblCellMar>
            <w:top w:w="0" w:type="dxa"/>
            <w:bottom w:w="0" w:type="dxa"/>
          </w:tblCellMar>
        </w:tblPrEx>
        <w:trPr>
          <w:cantSplit/>
          <w:trHeight w:val="560"/>
        </w:trPr>
        <w:tc>
          <w:tcPr>
            <w:tcW w:w="700" w:type="dxa"/>
            <w:tcMar>
              <w:top w:w="0" w:type="dxa"/>
              <w:bottom w:w="0" w:type="dxa"/>
            </w:tcMar>
            <w:vAlign w:val="center"/>
          </w:tcPr>
          <w:p w14:paraId="29CD7C5D" w14:textId="77777777" w:rsidR="00C9284F" w:rsidRDefault="00636D83">
            <w:pPr>
              <w:keepNext/>
              <w:keepLines/>
              <w:spacing w:after="0" w:line="240" w:lineRule="auto"/>
            </w:pPr>
            <w:r>
              <w:rPr>
                <w:sz w:val="18"/>
              </w:rPr>
              <w:t>3221</w:t>
            </w:r>
          </w:p>
        </w:tc>
        <w:tc>
          <w:tcPr>
            <w:tcW w:w="3180" w:type="dxa"/>
            <w:tcMar>
              <w:top w:w="0" w:type="dxa"/>
              <w:bottom w:w="0" w:type="dxa"/>
            </w:tcMar>
            <w:vAlign w:val="center"/>
          </w:tcPr>
          <w:p w14:paraId="4B28D3FA" w14:textId="77777777" w:rsidR="00C9284F" w:rsidRDefault="00636D83">
            <w:pPr>
              <w:keepNext/>
              <w:keepLines/>
              <w:spacing w:after="0" w:line="240" w:lineRule="auto"/>
            </w:pPr>
            <w:r>
              <w:rPr>
                <w:sz w:val="18"/>
              </w:rPr>
              <w:t>Uredski materijal i ostali materijalni rashodi</w:t>
            </w:r>
          </w:p>
        </w:tc>
        <w:tc>
          <w:tcPr>
            <w:tcW w:w="700" w:type="dxa"/>
            <w:tcMar>
              <w:top w:w="0" w:type="dxa"/>
              <w:bottom w:w="0" w:type="dxa"/>
            </w:tcMar>
            <w:vAlign w:val="center"/>
          </w:tcPr>
          <w:p w14:paraId="7858EFA4" w14:textId="77777777" w:rsidR="00C9284F" w:rsidRDefault="00636D83">
            <w:pPr>
              <w:keepNext/>
              <w:keepLines/>
              <w:spacing w:after="0" w:line="240" w:lineRule="auto"/>
            </w:pPr>
            <w:r>
              <w:rPr>
                <w:sz w:val="18"/>
              </w:rPr>
              <w:t>3221</w:t>
            </w:r>
          </w:p>
        </w:tc>
        <w:tc>
          <w:tcPr>
            <w:tcW w:w="1860" w:type="dxa"/>
            <w:tcMar>
              <w:top w:w="0" w:type="dxa"/>
              <w:bottom w:w="0" w:type="dxa"/>
            </w:tcMar>
            <w:vAlign w:val="center"/>
          </w:tcPr>
          <w:p w14:paraId="06EE4DE8" w14:textId="77777777" w:rsidR="00C9284F" w:rsidRDefault="00636D83">
            <w:pPr>
              <w:keepNext/>
              <w:keepLines/>
              <w:spacing w:after="0" w:line="240" w:lineRule="auto"/>
              <w:jc w:val="right"/>
            </w:pPr>
            <w:r>
              <w:rPr>
                <w:sz w:val="18"/>
              </w:rPr>
              <w:t>71.886,52</w:t>
            </w:r>
          </w:p>
        </w:tc>
        <w:tc>
          <w:tcPr>
            <w:tcW w:w="1860" w:type="dxa"/>
            <w:tcMar>
              <w:top w:w="0" w:type="dxa"/>
              <w:bottom w:w="0" w:type="dxa"/>
            </w:tcMar>
            <w:vAlign w:val="center"/>
          </w:tcPr>
          <w:p w14:paraId="7F2F8356" w14:textId="77777777" w:rsidR="00C9284F" w:rsidRDefault="00636D83">
            <w:pPr>
              <w:keepNext/>
              <w:keepLines/>
              <w:spacing w:after="0" w:line="240" w:lineRule="auto"/>
              <w:jc w:val="right"/>
            </w:pPr>
            <w:r>
              <w:rPr>
                <w:sz w:val="18"/>
              </w:rPr>
              <w:t>62.637,12</w:t>
            </w:r>
          </w:p>
        </w:tc>
        <w:tc>
          <w:tcPr>
            <w:tcW w:w="700" w:type="dxa"/>
            <w:tcMar>
              <w:top w:w="0" w:type="dxa"/>
              <w:bottom w:w="0" w:type="dxa"/>
            </w:tcMar>
            <w:vAlign w:val="center"/>
          </w:tcPr>
          <w:p w14:paraId="5CCE7413" w14:textId="77777777" w:rsidR="00C9284F" w:rsidRDefault="00636D83">
            <w:pPr>
              <w:keepNext/>
              <w:keepLines/>
              <w:spacing w:after="0" w:line="240" w:lineRule="auto"/>
              <w:jc w:val="right"/>
            </w:pPr>
            <w:r>
              <w:rPr>
                <w:sz w:val="18"/>
              </w:rPr>
              <w:t>87,1</w:t>
            </w:r>
          </w:p>
        </w:tc>
      </w:tr>
    </w:tbl>
    <w:p w14:paraId="1C0B716B" w14:textId="77777777" w:rsidR="00C9284F" w:rsidRDefault="00C9284F">
      <w:pPr>
        <w:spacing w:after="0"/>
      </w:pPr>
    </w:p>
    <w:p w14:paraId="7E0AE285" w14:textId="77777777" w:rsidR="00C9284F" w:rsidRDefault="00636D83">
      <w:r>
        <w:t>Do odstupanja od ostvarenja u izvještajnom razdoblju prethodne godine došlo je zbog smanjenja nabave uredskih potrepština i materijala i sredstava za čišćenje i održavanje te iz razloga što se krajem 2024. godine nabavljao materijal potreban za povratak Ureda na matičnu lokaciju uslijed završetka obnove od potresa.</w:t>
      </w:r>
    </w:p>
    <w:p w14:paraId="02A1018E" w14:textId="77777777" w:rsidR="00C9284F" w:rsidRDefault="00C9284F"/>
    <w:p w14:paraId="75C5542A" w14:textId="77777777" w:rsidR="00C9284F" w:rsidRDefault="00636D83">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4B6D1F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3AB637"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6D1634"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F98188"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EB4AE6"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A52335"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44974B" w14:textId="77777777" w:rsidR="00C9284F" w:rsidRDefault="00636D83">
            <w:pPr>
              <w:keepNext/>
              <w:keepLines/>
              <w:spacing w:after="0" w:line="240" w:lineRule="auto"/>
              <w:jc w:val="center"/>
            </w:pPr>
            <w:r>
              <w:rPr>
                <w:b/>
                <w:sz w:val="18"/>
              </w:rPr>
              <w:t>Indeks (%)</w:t>
            </w:r>
          </w:p>
        </w:tc>
      </w:tr>
      <w:tr w:rsidR="00C9284F" w14:paraId="2622F875" w14:textId="77777777">
        <w:tblPrEx>
          <w:tblCellMar>
            <w:top w:w="0" w:type="dxa"/>
            <w:bottom w:w="0" w:type="dxa"/>
          </w:tblCellMar>
        </w:tblPrEx>
        <w:trPr>
          <w:cantSplit/>
          <w:trHeight w:val="560"/>
        </w:trPr>
        <w:tc>
          <w:tcPr>
            <w:tcW w:w="700" w:type="dxa"/>
            <w:tcMar>
              <w:top w:w="0" w:type="dxa"/>
              <w:bottom w:w="0" w:type="dxa"/>
            </w:tcMar>
            <w:vAlign w:val="center"/>
          </w:tcPr>
          <w:p w14:paraId="346F3898" w14:textId="77777777" w:rsidR="00C9284F" w:rsidRDefault="00636D83">
            <w:pPr>
              <w:keepNext/>
              <w:keepLines/>
              <w:spacing w:after="0" w:line="240" w:lineRule="auto"/>
            </w:pPr>
            <w:r>
              <w:rPr>
                <w:sz w:val="18"/>
              </w:rPr>
              <w:t>3222</w:t>
            </w:r>
          </w:p>
        </w:tc>
        <w:tc>
          <w:tcPr>
            <w:tcW w:w="3180" w:type="dxa"/>
            <w:tcMar>
              <w:top w:w="0" w:type="dxa"/>
              <w:bottom w:w="0" w:type="dxa"/>
            </w:tcMar>
            <w:vAlign w:val="center"/>
          </w:tcPr>
          <w:p w14:paraId="29DAE31B" w14:textId="77777777" w:rsidR="00C9284F" w:rsidRDefault="00636D83">
            <w:pPr>
              <w:keepNext/>
              <w:keepLines/>
              <w:spacing w:after="0" w:line="240" w:lineRule="auto"/>
            </w:pPr>
            <w:r>
              <w:rPr>
                <w:sz w:val="18"/>
              </w:rPr>
              <w:t xml:space="preserve">Materijal i </w:t>
            </w:r>
            <w:r>
              <w:rPr>
                <w:sz w:val="18"/>
              </w:rPr>
              <w:t>sirovine</w:t>
            </w:r>
          </w:p>
        </w:tc>
        <w:tc>
          <w:tcPr>
            <w:tcW w:w="700" w:type="dxa"/>
            <w:tcMar>
              <w:top w:w="0" w:type="dxa"/>
              <w:bottom w:w="0" w:type="dxa"/>
            </w:tcMar>
            <w:vAlign w:val="center"/>
          </w:tcPr>
          <w:p w14:paraId="4D474C03" w14:textId="77777777" w:rsidR="00C9284F" w:rsidRDefault="00636D83">
            <w:pPr>
              <w:keepNext/>
              <w:keepLines/>
              <w:spacing w:after="0" w:line="240" w:lineRule="auto"/>
            </w:pPr>
            <w:r>
              <w:rPr>
                <w:sz w:val="18"/>
              </w:rPr>
              <w:t>3222</w:t>
            </w:r>
          </w:p>
        </w:tc>
        <w:tc>
          <w:tcPr>
            <w:tcW w:w="1860" w:type="dxa"/>
            <w:tcMar>
              <w:top w:w="0" w:type="dxa"/>
              <w:bottom w:w="0" w:type="dxa"/>
            </w:tcMar>
            <w:vAlign w:val="center"/>
          </w:tcPr>
          <w:p w14:paraId="433BFAB0" w14:textId="77777777" w:rsidR="00C9284F" w:rsidRDefault="00636D83">
            <w:pPr>
              <w:keepNext/>
              <w:keepLines/>
              <w:spacing w:after="0" w:line="240" w:lineRule="auto"/>
              <w:jc w:val="right"/>
            </w:pPr>
            <w:r>
              <w:rPr>
                <w:sz w:val="18"/>
              </w:rPr>
              <w:t>269.495,27</w:t>
            </w:r>
          </w:p>
        </w:tc>
        <w:tc>
          <w:tcPr>
            <w:tcW w:w="1860" w:type="dxa"/>
            <w:tcMar>
              <w:top w:w="0" w:type="dxa"/>
              <w:bottom w:w="0" w:type="dxa"/>
            </w:tcMar>
            <w:vAlign w:val="center"/>
          </w:tcPr>
          <w:p w14:paraId="6F0D057B" w14:textId="77777777" w:rsidR="00C9284F" w:rsidRDefault="00636D83">
            <w:pPr>
              <w:keepNext/>
              <w:keepLines/>
              <w:spacing w:after="0" w:line="240" w:lineRule="auto"/>
              <w:jc w:val="right"/>
            </w:pPr>
            <w:r>
              <w:rPr>
                <w:sz w:val="18"/>
              </w:rPr>
              <w:t>186.820,89</w:t>
            </w:r>
          </w:p>
        </w:tc>
        <w:tc>
          <w:tcPr>
            <w:tcW w:w="700" w:type="dxa"/>
            <w:tcMar>
              <w:top w:w="0" w:type="dxa"/>
              <w:bottom w:w="0" w:type="dxa"/>
            </w:tcMar>
            <w:vAlign w:val="center"/>
          </w:tcPr>
          <w:p w14:paraId="61982DD4" w14:textId="77777777" w:rsidR="00C9284F" w:rsidRDefault="00636D83">
            <w:pPr>
              <w:keepNext/>
              <w:keepLines/>
              <w:spacing w:after="0" w:line="240" w:lineRule="auto"/>
              <w:jc w:val="right"/>
            </w:pPr>
            <w:r>
              <w:rPr>
                <w:sz w:val="18"/>
              </w:rPr>
              <w:t>69,3</w:t>
            </w:r>
          </w:p>
        </w:tc>
      </w:tr>
    </w:tbl>
    <w:p w14:paraId="26A25D33" w14:textId="77777777" w:rsidR="00C9284F" w:rsidRDefault="00C9284F">
      <w:pPr>
        <w:spacing w:after="0"/>
      </w:pPr>
    </w:p>
    <w:p w14:paraId="3DDE25F3" w14:textId="77777777" w:rsidR="00C9284F" w:rsidRDefault="00636D83">
      <w:r>
        <w:t>Do odstupanja od ostvarenja u izvještajnom razdoblju prethodne godine došlo je zbog preseljenja Hrvatskoga sabora na novu lokaciju te novog dobavljača usluge pripreme obroka.</w:t>
      </w:r>
    </w:p>
    <w:p w14:paraId="0E62AC81" w14:textId="77777777" w:rsidR="00C9284F" w:rsidRDefault="00C9284F"/>
    <w:p w14:paraId="7A808071" w14:textId="77777777" w:rsidR="00C9284F" w:rsidRDefault="00636D83">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0207E7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CC5601"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0C2E04"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4E3E80"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C06F78"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812690"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B11F3C" w14:textId="77777777" w:rsidR="00C9284F" w:rsidRDefault="00636D83">
            <w:pPr>
              <w:keepNext/>
              <w:keepLines/>
              <w:spacing w:after="0" w:line="240" w:lineRule="auto"/>
              <w:jc w:val="center"/>
            </w:pPr>
            <w:r>
              <w:rPr>
                <w:b/>
                <w:sz w:val="18"/>
              </w:rPr>
              <w:t>Indeks (%)</w:t>
            </w:r>
          </w:p>
        </w:tc>
      </w:tr>
      <w:tr w:rsidR="00C9284F" w14:paraId="022930AF" w14:textId="77777777">
        <w:tblPrEx>
          <w:tblCellMar>
            <w:top w:w="0" w:type="dxa"/>
            <w:bottom w:w="0" w:type="dxa"/>
          </w:tblCellMar>
        </w:tblPrEx>
        <w:trPr>
          <w:cantSplit/>
          <w:trHeight w:val="560"/>
        </w:trPr>
        <w:tc>
          <w:tcPr>
            <w:tcW w:w="700" w:type="dxa"/>
            <w:tcMar>
              <w:top w:w="0" w:type="dxa"/>
              <w:bottom w:w="0" w:type="dxa"/>
            </w:tcMar>
            <w:vAlign w:val="center"/>
          </w:tcPr>
          <w:p w14:paraId="0452E8B4" w14:textId="77777777" w:rsidR="00C9284F" w:rsidRDefault="00636D83">
            <w:pPr>
              <w:keepNext/>
              <w:keepLines/>
              <w:spacing w:after="0" w:line="240" w:lineRule="auto"/>
            </w:pPr>
            <w:r>
              <w:rPr>
                <w:sz w:val="18"/>
              </w:rPr>
              <w:t>3223</w:t>
            </w:r>
          </w:p>
        </w:tc>
        <w:tc>
          <w:tcPr>
            <w:tcW w:w="3180" w:type="dxa"/>
            <w:tcMar>
              <w:top w:w="0" w:type="dxa"/>
              <w:bottom w:w="0" w:type="dxa"/>
            </w:tcMar>
            <w:vAlign w:val="center"/>
          </w:tcPr>
          <w:p w14:paraId="7BB5F218" w14:textId="77777777" w:rsidR="00C9284F" w:rsidRDefault="00636D83">
            <w:pPr>
              <w:keepNext/>
              <w:keepLines/>
              <w:spacing w:after="0" w:line="240" w:lineRule="auto"/>
            </w:pPr>
            <w:r>
              <w:rPr>
                <w:sz w:val="18"/>
              </w:rPr>
              <w:t>Energija</w:t>
            </w:r>
          </w:p>
        </w:tc>
        <w:tc>
          <w:tcPr>
            <w:tcW w:w="700" w:type="dxa"/>
            <w:tcMar>
              <w:top w:w="0" w:type="dxa"/>
              <w:bottom w:w="0" w:type="dxa"/>
            </w:tcMar>
            <w:vAlign w:val="center"/>
          </w:tcPr>
          <w:p w14:paraId="0E15761A" w14:textId="77777777" w:rsidR="00C9284F" w:rsidRDefault="00636D83">
            <w:pPr>
              <w:keepNext/>
              <w:keepLines/>
              <w:spacing w:after="0" w:line="240" w:lineRule="auto"/>
            </w:pPr>
            <w:r>
              <w:rPr>
                <w:sz w:val="18"/>
              </w:rPr>
              <w:t>3223</w:t>
            </w:r>
          </w:p>
        </w:tc>
        <w:tc>
          <w:tcPr>
            <w:tcW w:w="1860" w:type="dxa"/>
            <w:tcMar>
              <w:top w:w="0" w:type="dxa"/>
              <w:bottom w:w="0" w:type="dxa"/>
            </w:tcMar>
            <w:vAlign w:val="center"/>
          </w:tcPr>
          <w:p w14:paraId="686083A8" w14:textId="77777777" w:rsidR="00C9284F" w:rsidRDefault="00636D83">
            <w:pPr>
              <w:keepNext/>
              <w:keepLines/>
              <w:spacing w:after="0" w:line="240" w:lineRule="auto"/>
              <w:jc w:val="right"/>
            </w:pPr>
            <w:r>
              <w:rPr>
                <w:sz w:val="18"/>
              </w:rPr>
              <w:t>102.966,43</w:t>
            </w:r>
          </w:p>
        </w:tc>
        <w:tc>
          <w:tcPr>
            <w:tcW w:w="1860" w:type="dxa"/>
            <w:tcMar>
              <w:top w:w="0" w:type="dxa"/>
              <w:bottom w:w="0" w:type="dxa"/>
            </w:tcMar>
            <w:vAlign w:val="center"/>
          </w:tcPr>
          <w:p w14:paraId="59A7B76B" w14:textId="77777777" w:rsidR="00C9284F" w:rsidRDefault="00636D83">
            <w:pPr>
              <w:keepNext/>
              <w:keepLines/>
              <w:spacing w:after="0" w:line="240" w:lineRule="auto"/>
              <w:jc w:val="right"/>
            </w:pPr>
            <w:r>
              <w:rPr>
                <w:sz w:val="18"/>
              </w:rPr>
              <w:t>132.502,47</w:t>
            </w:r>
          </w:p>
        </w:tc>
        <w:tc>
          <w:tcPr>
            <w:tcW w:w="700" w:type="dxa"/>
            <w:tcMar>
              <w:top w:w="0" w:type="dxa"/>
              <w:bottom w:w="0" w:type="dxa"/>
            </w:tcMar>
            <w:vAlign w:val="center"/>
          </w:tcPr>
          <w:p w14:paraId="12347996" w14:textId="77777777" w:rsidR="00C9284F" w:rsidRDefault="00636D83">
            <w:pPr>
              <w:keepNext/>
              <w:keepLines/>
              <w:spacing w:after="0" w:line="240" w:lineRule="auto"/>
              <w:jc w:val="right"/>
            </w:pPr>
            <w:r>
              <w:rPr>
                <w:sz w:val="18"/>
              </w:rPr>
              <w:t>128,7</w:t>
            </w:r>
          </w:p>
        </w:tc>
      </w:tr>
    </w:tbl>
    <w:p w14:paraId="013D5E1A" w14:textId="77777777" w:rsidR="00C9284F" w:rsidRDefault="00C9284F">
      <w:pPr>
        <w:spacing w:after="0"/>
      </w:pPr>
    </w:p>
    <w:p w14:paraId="2A4FCB97" w14:textId="77777777" w:rsidR="00C9284F" w:rsidRDefault="00636D83">
      <w:r>
        <w:t>Do odstupanja od ostvarenja u izvještajnom razdoblju prethodne godine došlo je zbog povećanja troškova energije uslijed izmjene sustava grijanja i hlađenja Ureda na matičnoj lokaciji nakon konstrukcijske, cjelovite i energetske obnove palače Bužan od posljedica potresa te primjene novog Pravilnika o proračunskom računovodstvu i računskom planu („Narodne novine“, broj 158/2023 i 154/2024</w:t>
      </w:r>
    </w:p>
    <w:p w14:paraId="5242168C" w14:textId="77777777" w:rsidR="00C9284F" w:rsidRDefault="00C9284F"/>
    <w:p w14:paraId="4C67D67B" w14:textId="77777777" w:rsidR="00C9284F" w:rsidRDefault="00636D83">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7E06EF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9C1821"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5695F5"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C3CE64"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D1ABDE"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BB3FCF"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8BD213" w14:textId="77777777" w:rsidR="00C9284F" w:rsidRDefault="00636D83">
            <w:pPr>
              <w:keepNext/>
              <w:keepLines/>
              <w:spacing w:after="0" w:line="240" w:lineRule="auto"/>
              <w:jc w:val="center"/>
            </w:pPr>
            <w:r>
              <w:rPr>
                <w:b/>
                <w:sz w:val="18"/>
              </w:rPr>
              <w:t>Indeks (%)</w:t>
            </w:r>
          </w:p>
        </w:tc>
      </w:tr>
      <w:tr w:rsidR="00C9284F" w14:paraId="24D17B3A" w14:textId="77777777">
        <w:tblPrEx>
          <w:tblCellMar>
            <w:top w:w="0" w:type="dxa"/>
            <w:bottom w:w="0" w:type="dxa"/>
          </w:tblCellMar>
        </w:tblPrEx>
        <w:trPr>
          <w:cantSplit/>
          <w:trHeight w:val="560"/>
        </w:trPr>
        <w:tc>
          <w:tcPr>
            <w:tcW w:w="700" w:type="dxa"/>
            <w:tcMar>
              <w:top w:w="0" w:type="dxa"/>
              <w:bottom w:w="0" w:type="dxa"/>
            </w:tcMar>
            <w:vAlign w:val="center"/>
          </w:tcPr>
          <w:p w14:paraId="6B23CD53" w14:textId="77777777" w:rsidR="00C9284F" w:rsidRDefault="00636D83">
            <w:pPr>
              <w:keepNext/>
              <w:keepLines/>
              <w:spacing w:after="0" w:line="240" w:lineRule="auto"/>
            </w:pPr>
            <w:r>
              <w:rPr>
                <w:sz w:val="18"/>
              </w:rPr>
              <w:t>3224</w:t>
            </w:r>
          </w:p>
        </w:tc>
        <w:tc>
          <w:tcPr>
            <w:tcW w:w="3180" w:type="dxa"/>
            <w:tcMar>
              <w:top w:w="0" w:type="dxa"/>
              <w:bottom w:w="0" w:type="dxa"/>
            </w:tcMar>
            <w:vAlign w:val="center"/>
          </w:tcPr>
          <w:p w14:paraId="5788E143" w14:textId="77777777" w:rsidR="00C9284F" w:rsidRDefault="00636D83">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3936A7C6" w14:textId="77777777" w:rsidR="00C9284F" w:rsidRDefault="00636D83">
            <w:pPr>
              <w:keepNext/>
              <w:keepLines/>
              <w:spacing w:after="0" w:line="240" w:lineRule="auto"/>
            </w:pPr>
            <w:r>
              <w:rPr>
                <w:sz w:val="18"/>
              </w:rPr>
              <w:t>3224</w:t>
            </w:r>
          </w:p>
        </w:tc>
        <w:tc>
          <w:tcPr>
            <w:tcW w:w="1860" w:type="dxa"/>
            <w:tcMar>
              <w:top w:w="0" w:type="dxa"/>
              <w:bottom w:w="0" w:type="dxa"/>
            </w:tcMar>
            <w:vAlign w:val="center"/>
          </w:tcPr>
          <w:p w14:paraId="00CF2802" w14:textId="77777777" w:rsidR="00C9284F" w:rsidRDefault="00636D83">
            <w:pPr>
              <w:keepNext/>
              <w:keepLines/>
              <w:spacing w:after="0" w:line="240" w:lineRule="auto"/>
              <w:jc w:val="right"/>
            </w:pPr>
            <w:r>
              <w:rPr>
                <w:sz w:val="18"/>
              </w:rPr>
              <w:t>19.362,26</w:t>
            </w:r>
          </w:p>
        </w:tc>
        <w:tc>
          <w:tcPr>
            <w:tcW w:w="1860" w:type="dxa"/>
            <w:tcMar>
              <w:top w:w="0" w:type="dxa"/>
              <w:bottom w:w="0" w:type="dxa"/>
            </w:tcMar>
            <w:vAlign w:val="center"/>
          </w:tcPr>
          <w:p w14:paraId="263E765F" w14:textId="77777777" w:rsidR="00C9284F" w:rsidRDefault="00636D83">
            <w:pPr>
              <w:keepNext/>
              <w:keepLines/>
              <w:spacing w:after="0" w:line="240" w:lineRule="auto"/>
              <w:jc w:val="right"/>
            </w:pPr>
            <w:r>
              <w:rPr>
                <w:sz w:val="18"/>
              </w:rPr>
              <w:t>26.438,70</w:t>
            </w:r>
          </w:p>
        </w:tc>
        <w:tc>
          <w:tcPr>
            <w:tcW w:w="700" w:type="dxa"/>
            <w:tcMar>
              <w:top w:w="0" w:type="dxa"/>
              <w:bottom w:w="0" w:type="dxa"/>
            </w:tcMar>
            <w:vAlign w:val="center"/>
          </w:tcPr>
          <w:p w14:paraId="454FE358" w14:textId="77777777" w:rsidR="00C9284F" w:rsidRDefault="00636D83">
            <w:pPr>
              <w:keepNext/>
              <w:keepLines/>
              <w:spacing w:after="0" w:line="240" w:lineRule="auto"/>
              <w:jc w:val="right"/>
            </w:pPr>
            <w:r>
              <w:rPr>
                <w:sz w:val="18"/>
              </w:rPr>
              <w:t>136,5</w:t>
            </w:r>
          </w:p>
        </w:tc>
      </w:tr>
    </w:tbl>
    <w:p w14:paraId="1371308C" w14:textId="77777777" w:rsidR="00C9284F" w:rsidRDefault="00C9284F">
      <w:pPr>
        <w:spacing w:after="0"/>
      </w:pPr>
    </w:p>
    <w:p w14:paraId="7860217B" w14:textId="77777777" w:rsidR="00C9284F" w:rsidRDefault="00636D83">
      <w:r>
        <w:t>Do odstupanja od ostvarenja u izvještajnom razdoblju prethodne godine došlo je zbog nabave veće količine materijala i dijelova za održavanje prijevoznih sredstava. </w:t>
      </w:r>
    </w:p>
    <w:p w14:paraId="1AF1557C" w14:textId="77777777" w:rsidR="00C9284F" w:rsidRDefault="00C9284F"/>
    <w:p w14:paraId="37693BCE" w14:textId="77777777" w:rsidR="00C9284F" w:rsidRDefault="00636D83">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1D51D7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282BCB"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250268"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DA2CB1"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F16523" w14:textId="77777777" w:rsidR="00C9284F" w:rsidRDefault="00636D83">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14:paraId="24C1933C"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3A1C06" w14:textId="77777777" w:rsidR="00C9284F" w:rsidRDefault="00636D83">
            <w:pPr>
              <w:keepNext/>
              <w:keepLines/>
              <w:spacing w:after="0" w:line="240" w:lineRule="auto"/>
              <w:jc w:val="center"/>
            </w:pPr>
            <w:r>
              <w:rPr>
                <w:b/>
                <w:sz w:val="18"/>
              </w:rPr>
              <w:t>Indeks (%)</w:t>
            </w:r>
          </w:p>
        </w:tc>
      </w:tr>
      <w:tr w:rsidR="00C9284F" w14:paraId="185C198D" w14:textId="77777777">
        <w:tblPrEx>
          <w:tblCellMar>
            <w:top w:w="0" w:type="dxa"/>
            <w:bottom w:w="0" w:type="dxa"/>
          </w:tblCellMar>
        </w:tblPrEx>
        <w:trPr>
          <w:cantSplit/>
          <w:trHeight w:val="560"/>
        </w:trPr>
        <w:tc>
          <w:tcPr>
            <w:tcW w:w="700" w:type="dxa"/>
            <w:tcMar>
              <w:top w:w="0" w:type="dxa"/>
              <w:bottom w:w="0" w:type="dxa"/>
            </w:tcMar>
            <w:vAlign w:val="center"/>
          </w:tcPr>
          <w:p w14:paraId="67CA70AA" w14:textId="77777777" w:rsidR="00C9284F" w:rsidRDefault="00636D83">
            <w:pPr>
              <w:keepNext/>
              <w:keepLines/>
              <w:spacing w:after="0" w:line="240" w:lineRule="auto"/>
            </w:pPr>
            <w:r>
              <w:rPr>
                <w:sz w:val="18"/>
              </w:rPr>
              <w:t>3225</w:t>
            </w:r>
          </w:p>
        </w:tc>
        <w:tc>
          <w:tcPr>
            <w:tcW w:w="3180" w:type="dxa"/>
            <w:tcMar>
              <w:top w:w="0" w:type="dxa"/>
              <w:bottom w:w="0" w:type="dxa"/>
            </w:tcMar>
            <w:vAlign w:val="center"/>
          </w:tcPr>
          <w:p w14:paraId="5C510B8A" w14:textId="77777777" w:rsidR="00C9284F" w:rsidRDefault="00636D83">
            <w:pPr>
              <w:keepNext/>
              <w:keepLines/>
              <w:spacing w:after="0" w:line="240" w:lineRule="auto"/>
            </w:pPr>
            <w:r>
              <w:rPr>
                <w:sz w:val="18"/>
              </w:rPr>
              <w:t>Sitni inventar i autogume</w:t>
            </w:r>
          </w:p>
        </w:tc>
        <w:tc>
          <w:tcPr>
            <w:tcW w:w="700" w:type="dxa"/>
            <w:tcMar>
              <w:top w:w="0" w:type="dxa"/>
              <w:bottom w:w="0" w:type="dxa"/>
            </w:tcMar>
            <w:vAlign w:val="center"/>
          </w:tcPr>
          <w:p w14:paraId="2C34888C" w14:textId="77777777" w:rsidR="00C9284F" w:rsidRDefault="00636D83">
            <w:pPr>
              <w:keepNext/>
              <w:keepLines/>
              <w:spacing w:after="0" w:line="240" w:lineRule="auto"/>
            </w:pPr>
            <w:r>
              <w:rPr>
                <w:sz w:val="18"/>
              </w:rPr>
              <w:t>3225</w:t>
            </w:r>
          </w:p>
        </w:tc>
        <w:tc>
          <w:tcPr>
            <w:tcW w:w="1860" w:type="dxa"/>
            <w:tcMar>
              <w:top w:w="0" w:type="dxa"/>
              <w:bottom w:w="0" w:type="dxa"/>
            </w:tcMar>
            <w:vAlign w:val="center"/>
          </w:tcPr>
          <w:p w14:paraId="76672D69" w14:textId="77777777" w:rsidR="00C9284F" w:rsidRDefault="00636D83">
            <w:pPr>
              <w:keepNext/>
              <w:keepLines/>
              <w:spacing w:after="0" w:line="240" w:lineRule="auto"/>
              <w:jc w:val="right"/>
            </w:pPr>
            <w:r>
              <w:rPr>
                <w:sz w:val="18"/>
              </w:rPr>
              <w:t>10.642,44</w:t>
            </w:r>
          </w:p>
        </w:tc>
        <w:tc>
          <w:tcPr>
            <w:tcW w:w="1860" w:type="dxa"/>
            <w:tcMar>
              <w:top w:w="0" w:type="dxa"/>
              <w:bottom w:w="0" w:type="dxa"/>
            </w:tcMar>
            <w:vAlign w:val="center"/>
          </w:tcPr>
          <w:p w14:paraId="6F460B14" w14:textId="77777777" w:rsidR="00C9284F" w:rsidRDefault="00636D83">
            <w:pPr>
              <w:keepNext/>
              <w:keepLines/>
              <w:spacing w:after="0" w:line="240" w:lineRule="auto"/>
              <w:jc w:val="right"/>
            </w:pPr>
            <w:r>
              <w:rPr>
                <w:sz w:val="18"/>
              </w:rPr>
              <w:t>23.894,79</w:t>
            </w:r>
          </w:p>
        </w:tc>
        <w:tc>
          <w:tcPr>
            <w:tcW w:w="700" w:type="dxa"/>
            <w:tcMar>
              <w:top w:w="0" w:type="dxa"/>
              <w:bottom w:w="0" w:type="dxa"/>
            </w:tcMar>
            <w:vAlign w:val="center"/>
          </w:tcPr>
          <w:p w14:paraId="6D23FADE" w14:textId="77777777" w:rsidR="00C9284F" w:rsidRDefault="00636D83">
            <w:pPr>
              <w:keepNext/>
              <w:keepLines/>
              <w:spacing w:after="0" w:line="240" w:lineRule="auto"/>
              <w:jc w:val="right"/>
            </w:pPr>
            <w:r>
              <w:rPr>
                <w:sz w:val="18"/>
              </w:rPr>
              <w:t>224,5</w:t>
            </w:r>
          </w:p>
        </w:tc>
      </w:tr>
    </w:tbl>
    <w:p w14:paraId="204CF64A" w14:textId="77777777" w:rsidR="00C9284F" w:rsidRDefault="00C9284F">
      <w:pPr>
        <w:spacing w:after="0"/>
      </w:pPr>
    </w:p>
    <w:p w14:paraId="439133F9" w14:textId="77777777" w:rsidR="00C9284F" w:rsidRDefault="00636D83">
      <w:r>
        <w:t>Do odstupanja od ostvarenja u izvještajnom razdoblju prethodne godine došlo je zbog nabave autoguma za službena vozila nabavljena putem novog financijskog leasinga te inventara za ugostiteljstvo.</w:t>
      </w:r>
    </w:p>
    <w:p w14:paraId="3483AF0D" w14:textId="77777777" w:rsidR="00C9284F" w:rsidRDefault="00C9284F"/>
    <w:p w14:paraId="3ADF4629" w14:textId="77777777" w:rsidR="00C9284F" w:rsidRDefault="00636D83">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0EFE8E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9374D4"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F5AC01"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D464AD"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27112D"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CA940A"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9DE8F3" w14:textId="77777777" w:rsidR="00C9284F" w:rsidRDefault="00636D83">
            <w:pPr>
              <w:keepNext/>
              <w:keepLines/>
              <w:spacing w:after="0" w:line="240" w:lineRule="auto"/>
              <w:jc w:val="center"/>
            </w:pPr>
            <w:r>
              <w:rPr>
                <w:b/>
                <w:sz w:val="18"/>
              </w:rPr>
              <w:t>Indeks (%)</w:t>
            </w:r>
          </w:p>
        </w:tc>
      </w:tr>
      <w:tr w:rsidR="00C9284F" w14:paraId="184BC71E" w14:textId="77777777">
        <w:tblPrEx>
          <w:tblCellMar>
            <w:top w:w="0" w:type="dxa"/>
            <w:bottom w:w="0" w:type="dxa"/>
          </w:tblCellMar>
        </w:tblPrEx>
        <w:trPr>
          <w:cantSplit/>
          <w:trHeight w:val="560"/>
        </w:trPr>
        <w:tc>
          <w:tcPr>
            <w:tcW w:w="700" w:type="dxa"/>
            <w:tcMar>
              <w:top w:w="0" w:type="dxa"/>
              <w:bottom w:w="0" w:type="dxa"/>
            </w:tcMar>
            <w:vAlign w:val="center"/>
          </w:tcPr>
          <w:p w14:paraId="56A52CCF" w14:textId="77777777" w:rsidR="00C9284F" w:rsidRDefault="00636D83">
            <w:pPr>
              <w:keepNext/>
              <w:keepLines/>
              <w:spacing w:after="0" w:line="240" w:lineRule="auto"/>
            </w:pPr>
            <w:r>
              <w:rPr>
                <w:sz w:val="18"/>
              </w:rPr>
              <w:t>3231</w:t>
            </w:r>
          </w:p>
        </w:tc>
        <w:tc>
          <w:tcPr>
            <w:tcW w:w="3180" w:type="dxa"/>
            <w:tcMar>
              <w:top w:w="0" w:type="dxa"/>
              <w:bottom w:w="0" w:type="dxa"/>
            </w:tcMar>
            <w:vAlign w:val="center"/>
          </w:tcPr>
          <w:p w14:paraId="19B4D413" w14:textId="77777777" w:rsidR="00C9284F" w:rsidRDefault="00636D83">
            <w:pPr>
              <w:keepNext/>
              <w:keepLines/>
              <w:spacing w:after="0" w:line="240" w:lineRule="auto"/>
            </w:pPr>
            <w:r>
              <w:rPr>
                <w:sz w:val="18"/>
              </w:rPr>
              <w:t>Usluge telefona, interneta, pošte i prijevoza</w:t>
            </w:r>
          </w:p>
        </w:tc>
        <w:tc>
          <w:tcPr>
            <w:tcW w:w="700" w:type="dxa"/>
            <w:tcMar>
              <w:top w:w="0" w:type="dxa"/>
              <w:bottom w:w="0" w:type="dxa"/>
            </w:tcMar>
            <w:vAlign w:val="center"/>
          </w:tcPr>
          <w:p w14:paraId="49388C55" w14:textId="77777777" w:rsidR="00C9284F" w:rsidRDefault="00636D83">
            <w:pPr>
              <w:keepNext/>
              <w:keepLines/>
              <w:spacing w:after="0" w:line="240" w:lineRule="auto"/>
            </w:pPr>
            <w:r>
              <w:rPr>
                <w:sz w:val="18"/>
              </w:rPr>
              <w:t>3231</w:t>
            </w:r>
          </w:p>
        </w:tc>
        <w:tc>
          <w:tcPr>
            <w:tcW w:w="1860" w:type="dxa"/>
            <w:tcMar>
              <w:top w:w="0" w:type="dxa"/>
              <w:bottom w:w="0" w:type="dxa"/>
            </w:tcMar>
            <w:vAlign w:val="center"/>
          </w:tcPr>
          <w:p w14:paraId="196C71E5" w14:textId="77777777" w:rsidR="00C9284F" w:rsidRDefault="00636D83">
            <w:pPr>
              <w:keepNext/>
              <w:keepLines/>
              <w:spacing w:after="0" w:line="240" w:lineRule="auto"/>
              <w:jc w:val="right"/>
            </w:pPr>
            <w:r>
              <w:rPr>
                <w:sz w:val="18"/>
              </w:rPr>
              <w:t>52.871,33</w:t>
            </w:r>
          </w:p>
        </w:tc>
        <w:tc>
          <w:tcPr>
            <w:tcW w:w="1860" w:type="dxa"/>
            <w:tcMar>
              <w:top w:w="0" w:type="dxa"/>
              <w:bottom w:w="0" w:type="dxa"/>
            </w:tcMar>
            <w:vAlign w:val="center"/>
          </w:tcPr>
          <w:p w14:paraId="705A2FF0" w14:textId="77777777" w:rsidR="00C9284F" w:rsidRDefault="00636D83">
            <w:pPr>
              <w:keepNext/>
              <w:keepLines/>
              <w:spacing w:after="0" w:line="240" w:lineRule="auto"/>
              <w:jc w:val="right"/>
            </w:pPr>
            <w:r>
              <w:rPr>
                <w:sz w:val="18"/>
              </w:rPr>
              <w:t>42.784,31</w:t>
            </w:r>
          </w:p>
        </w:tc>
        <w:tc>
          <w:tcPr>
            <w:tcW w:w="700" w:type="dxa"/>
            <w:tcMar>
              <w:top w:w="0" w:type="dxa"/>
              <w:bottom w:w="0" w:type="dxa"/>
            </w:tcMar>
            <w:vAlign w:val="center"/>
          </w:tcPr>
          <w:p w14:paraId="4EEDEA8B" w14:textId="77777777" w:rsidR="00C9284F" w:rsidRDefault="00636D83">
            <w:pPr>
              <w:keepNext/>
              <w:keepLines/>
              <w:spacing w:after="0" w:line="240" w:lineRule="auto"/>
              <w:jc w:val="right"/>
            </w:pPr>
            <w:r>
              <w:rPr>
                <w:sz w:val="18"/>
              </w:rPr>
              <w:t>80,9</w:t>
            </w:r>
          </w:p>
        </w:tc>
      </w:tr>
    </w:tbl>
    <w:p w14:paraId="2E227D9A" w14:textId="77777777" w:rsidR="00C9284F" w:rsidRDefault="00C9284F">
      <w:pPr>
        <w:spacing w:after="0"/>
      </w:pPr>
    </w:p>
    <w:p w14:paraId="7C393D28" w14:textId="77777777" w:rsidR="00C9284F" w:rsidRDefault="00636D83">
      <w:r>
        <w:t>Do odstupanja od ostvarenja u izvještajnom razdoblju prethodne godine došlo je zbog sklapanja novog ugovora za fiksnu telefoniju te prestanka plaćanja veza na relaciji Opatička 1 – Trg bana Josipa Jelačića 5 uslijed preseljenja Ureda na matičnu lokaciju nakon završetka obnove od potresa.</w:t>
      </w:r>
    </w:p>
    <w:p w14:paraId="3AEC1AEC" w14:textId="77777777" w:rsidR="00C9284F" w:rsidRDefault="00C9284F"/>
    <w:p w14:paraId="0ED19F16" w14:textId="77777777" w:rsidR="00C9284F" w:rsidRDefault="00636D83">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0C64E2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D0D02F"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CF4F99"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2D8715"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A41D0D"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FB4F32"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19F1FA" w14:textId="77777777" w:rsidR="00C9284F" w:rsidRDefault="00636D83">
            <w:pPr>
              <w:keepNext/>
              <w:keepLines/>
              <w:spacing w:after="0" w:line="240" w:lineRule="auto"/>
              <w:jc w:val="center"/>
            </w:pPr>
            <w:r>
              <w:rPr>
                <w:b/>
                <w:sz w:val="18"/>
              </w:rPr>
              <w:t>Indeks (%)</w:t>
            </w:r>
          </w:p>
        </w:tc>
      </w:tr>
      <w:tr w:rsidR="00C9284F" w14:paraId="4A2607C8" w14:textId="77777777">
        <w:tblPrEx>
          <w:tblCellMar>
            <w:top w:w="0" w:type="dxa"/>
            <w:bottom w:w="0" w:type="dxa"/>
          </w:tblCellMar>
        </w:tblPrEx>
        <w:trPr>
          <w:cantSplit/>
          <w:trHeight w:val="560"/>
        </w:trPr>
        <w:tc>
          <w:tcPr>
            <w:tcW w:w="700" w:type="dxa"/>
            <w:tcMar>
              <w:top w:w="0" w:type="dxa"/>
              <w:bottom w:w="0" w:type="dxa"/>
            </w:tcMar>
            <w:vAlign w:val="center"/>
          </w:tcPr>
          <w:p w14:paraId="1547C62E" w14:textId="77777777" w:rsidR="00C9284F" w:rsidRDefault="00636D83">
            <w:pPr>
              <w:keepNext/>
              <w:keepLines/>
              <w:spacing w:after="0" w:line="240" w:lineRule="auto"/>
            </w:pPr>
            <w:r>
              <w:rPr>
                <w:sz w:val="18"/>
              </w:rPr>
              <w:t>3233</w:t>
            </w:r>
          </w:p>
        </w:tc>
        <w:tc>
          <w:tcPr>
            <w:tcW w:w="3180" w:type="dxa"/>
            <w:tcMar>
              <w:top w:w="0" w:type="dxa"/>
              <w:bottom w:w="0" w:type="dxa"/>
            </w:tcMar>
            <w:vAlign w:val="center"/>
          </w:tcPr>
          <w:p w14:paraId="7D8A96E4" w14:textId="77777777" w:rsidR="00C9284F" w:rsidRDefault="00636D83">
            <w:pPr>
              <w:keepNext/>
              <w:keepLines/>
              <w:spacing w:after="0" w:line="240" w:lineRule="auto"/>
            </w:pPr>
            <w:r>
              <w:rPr>
                <w:sz w:val="18"/>
              </w:rPr>
              <w:t>Usluge promidžbe i informiranja</w:t>
            </w:r>
          </w:p>
        </w:tc>
        <w:tc>
          <w:tcPr>
            <w:tcW w:w="700" w:type="dxa"/>
            <w:tcMar>
              <w:top w:w="0" w:type="dxa"/>
              <w:bottom w:w="0" w:type="dxa"/>
            </w:tcMar>
            <w:vAlign w:val="center"/>
          </w:tcPr>
          <w:p w14:paraId="48CBB445" w14:textId="77777777" w:rsidR="00C9284F" w:rsidRDefault="00636D83">
            <w:pPr>
              <w:keepNext/>
              <w:keepLines/>
              <w:spacing w:after="0" w:line="240" w:lineRule="auto"/>
            </w:pPr>
            <w:r>
              <w:rPr>
                <w:sz w:val="18"/>
              </w:rPr>
              <w:t>3233</w:t>
            </w:r>
          </w:p>
        </w:tc>
        <w:tc>
          <w:tcPr>
            <w:tcW w:w="1860" w:type="dxa"/>
            <w:tcMar>
              <w:top w:w="0" w:type="dxa"/>
              <w:bottom w:w="0" w:type="dxa"/>
            </w:tcMar>
            <w:vAlign w:val="center"/>
          </w:tcPr>
          <w:p w14:paraId="49CF9641" w14:textId="77777777" w:rsidR="00C9284F" w:rsidRDefault="00636D83">
            <w:pPr>
              <w:keepNext/>
              <w:keepLines/>
              <w:spacing w:after="0" w:line="240" w:lineRule="auto"/>
              <w:jc w:val="right"/>
            </w:pPr>
            <w:r>
              <w:rPr>
                <w:sz w:val="18"/>
              </w:rPr>
              <w:t>6.022,81</w:t>
            </w:r>
          </w:p>
        </w:tc>
        <w:tc>
          <w:tcPr>
            <w:tcW w:w="1860" w:type="dxa"/>
            <w:tcMar>
              <w:top w:w="0" w:type="dxa"/>
              <w:bottom w:w="0" w:type="dxa"/>
            </w:tcMar>
            <w:vAlign w:val="center"/>
          </w:tcPr>
          <w:p w14:paraId="3BC417A0" w14:textId="77777777" w:rsidR="00C9284F" w:rsidRDefault="00636D83">
            <w:pPr>
              <w:keepNext/>
              <w:keepLines/>
              <w:spacing w:after="0" w:line="240" w:lineRule="auto"/>
              <w:jc w:val="right"/>
            </w:pPr>
            <w:r>
              <w:rPr>
                <w:sz w:val="18"/>
              </w:rPr>
              <w:t>916,65</w:t>
            </w:r>
          </w:p>
        </w:tc>
        <w:tc>
          <w:tcPr>
            <w:tcW w:w="700" w:type="dxa"/>
            <w:tcMar>
              <w:top w:w="0" w:type="dxa"/>
              <w:bottom w:w="0" w:type="dxa"/>
            </w:tcMar>
            <w:vAlign w:val="center"/>
          </w:tcPr>
          <w:p w14:paraId="6CCB310F" w14:textId="77777777" w:rsidR="00C9284F" w:rsidRDefault="00636D83">
            <w:pPr>
              <w:keepNext/>
              <w:keepLines/>
              <w:spacing w:after="0" w:line="240" w:lineRule="auto"/>
              <w:jc w:val="right"/>
            </w:pPr>
            <w:r>
              <w:rPr>
                <w:sz w:val="18"/>
              </w:rPr>
              <w:t>15,2</w:t>
            </w:r>
          </w:p>
        </w:tc>
      </w:tr>
    </w:tbl>
    <w:p w14:paraId="30055CE6" w14:textId="77777777" w:rsidR="00C9284F" w:rsidRDefault="00C9284F">
      <w:pPr>
        <w:spacing w:after="0"/>
      </w:pPr>
    </w:p>
    <w:p w14:paraId="58C9A3D8" w14:textId="77777777" w:rsidR="00C9284F" w:rsidRDefault="00636D83">
      <w:r>
        <w:t>Do odstupanja od ostvarenja u izvještajnom razdoblju prethodne godine došlo je zbog smanjenja troškova objave oglase za prijam novih djelatnika uslijed početka rada centraliziranog sustava za zapošljavanje.</w:t>
      </w:r>
    </w:p>
    <w:p w14:paraId="4A9F6977" w14:textId="77777777" w:rsidR="00C9284F" w:rsidRDefault="00C9284F"/>
    <w:p w14:paraId="609DC575" w14:textId="77777777" w:rsidR="00C9284F" w:rsidRDefault="00636D83">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396368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AD016F"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1CB054"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A5586A"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3DA271"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8D8AEA"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16FFE3" w14:textId="77777777" w:rsidR="00C9284F" w:rsidRDefault="00636D83">
            <w:pPr>
              <w:keepNext/>
              <w:keepLines/>
              <w:spacing w:after="0" w:line="240" w:lineRule="auto"/>
              <w:jc w:val="center"/>
            </w:pPr>
            <w:r>
              <w:rPr>
                <w:b/>
                <w:sz w:val="18"/>
              </w:rPr>
              <w:t>Indeks (%)</w:t>
            </w:r>
          </w:p>
        </w:tc>
      </w:tr>
      <w:tr w:rsidR="00C9284F" w14:paraId="59A34647" w14:textId="77777777">
        <w:tblPrEx>
          <w:tblCellMar>
            <w:top w:w="0" w:type="dxa"/>
            <w:bottom w:w="0" w:type="dxa"/>
          </w:tblCellMar>
        </w:tblPrEx>
        <w:trPr>
          <w:cantSplit/>
          <w:trHeight w:val="560"/>
        </w:trPr>
        <w:tc>
          <w:tcPr>
            <w:tcW w:w="700" w:type="dxa"/>
            <w:tcMar>
              <w:top w:w="0" w:type="dxa"/>
              <w:bottom w:w="0" w:type="dxa"/>
            </w:tcMar>
            <w:vAlign w:val="center"/>
          </w:tcPr>
          <w:p w14:paraId="35BB492B" w14:textId="77777777" w:rsidR="00C9284F" w:rsidRDefault="00636D83">
            <w:pPr>
              <w:keepNext/>
              <w:keepLines/>
              <w:spacing w:after="0" w:line="240" w:lineRule="auto"/>
            </w:pPr>
            <w:r>
              <w:rPr>
                <w:sz w:val="18"/>
              </w:rPr>
              <w:t>3234</w:t>
            </w:r>
          </w:p>
        </w:tc>
        <w:tc>
          <w:tcPr>
            <w:tcW w:w="3180" w:type="dxa"/>
            <w:tcMar>
              <w:top w:w="0" w:type="dxa"/>
              <w:bottom w:w="0" w:type="dxa"/>
            </w:tcMar>
            <w:vAlign w:val="center"/>
          </w:tcPr>
          <w:p w14:paraId="6CF2D0C2" w14:textId="77777777" w:rsidR="00C9284F" w:rsidRDefault="00636D83">
            <w:pPr>
              <w:keepNext/>
              <w:keepLines/>
              <w:spacing w:after="0" w:line="240" w:lineRule="auto"/>
            </w:pPr>
            <w:r>
              <w:rPr>
                <w:sz w:val="18"/>
              </w:rPr>
              <w:t>Komunalne usluge</w:t>
            </w:r>
          </w:p>
        </w:tc>
        <w:tc>
          <w:tcPr>
            <w:tcW w:w="700" w:type="dxa"/>
            <w:tcMar>
              <w:top w:w="0" w:type="dxa"/>
              <w:bottom w:w="0" w:type="dxa"/>
            </w:tcMar>
            <w:vAlign w:val="center"/>
          </w:tcPr>
          <w:p w14:paraId="3A3F9006" w14:textId="77777777" w:rsidR="00C9284F" w:rsidRDefault="00636D83">
            <w:pPr>
              <w:keepNext/>
              <w:keepLines/>
              <w:spacing w:after="0" w:line="240" w:lineRule="auto"/>
            </w:pPr>
            <w:r>
              <w:rPr>
                <w:sz w:val="18"/>
              </w:rPr>
              <w:t>3234</w:t>
            </w:r>
          </w:p>
        </w:tc>
        <w:tc>
          <w:tcPr>
            <w:tcW w:w="1860" w:type="dxa"/>
            <w:tcMar>
              <w:top w:w="0" w:type="dxa"/>
              <w:bottom w:w="0" w:type="dxa"/>
            </w:tcMar>
            <w:vAlign w:val="center"/>
          </w:tcPr>
          <w:p w14:paraId="3384FF3C" w14:textId="77777777" w:rsidR="00C9284F" w:rsidRDefault="00636D83">
            <w:pPr>
              <w:keepNext/>
              <w:keepLines/>
              <w:spacing w:after="0" w:line="240" w:lineRule="auto"/>
              <w:jc w:val="right"/>
            </w:pPr>
            <w:r>
              <w:rPr>
                <w:sz w:val="18"/>
              </w:rPr>
              <w:t>17.247,45</w:t>
            </w:r>
          </w:p>
        </w:tc>
        <w:tc>
          <w:tcPr>
            <w:tcW w:w="1860" w:type="dxa"/>
            <w:tcMar>
              <w:top w:w="0" w:type="dxa"/>
              <w:bottom w:w="0" w:type="dxa"/>
            </w:tcMar>
            <w:vAlign w:val="center"/>
          </w:tcPr>
          <w:p w14:paraId="10407E76" w14:textId="77777777" w:rsidR="00C9284F" w:rsidRDefault="00636D83">
            <w:pPr>
              <w:keepNext/>
              <w:keepLines/>
              <w:spacing w:after="0" w:line="240" w:lineRule="auto"/>
              <w:jc w:val="right"/>
            </w:pPr>
            <w:r>
              <w:rPr>
                <w:sz w:val="18"/>
              </w:rPr>
              <w:t>19.858,48</w:t>
            </w:r>
          </w:p>
        </w:tc>
        <w:tc>
          <w:tcPr>
            <w:tcW w:w="700" w:type="dxa"/>
            <w:tcMar>
              <w:top w:w="0" w:type="dxa"/>
              <w:bottom w:w="0" w:type="dxa"/>
            </w:tcMar>
            <w:vAlign w:val="center"/>
          </w:tcPr>
          <w:p w14:paraId="15402A4B" w14:textId="77777777" w:rsidR="00C9284F" w:rsidRDefault="00636D83">
            <w:pPr>
              <w:keepNext/>
              <w:keepLines/>
              <w:spacing w:after="0" w:line="240" w:lineRule="auto"/>
              <w:jc w:val="right"/>
            </w:pPr>
            <w:r>
              <w:rPr>
                <w:sz w:val="18"/>
              </w:rPr>
              <w:t>115,1</w:t>
            </w:r>
          </w:p>
        </w:tc>
      </w:tr>
    </w:tbl>
    <w:p w14:paraId="67CBF31F" w14:textId="77777777" w:rsidR="00C9284F" w:rsidRDefault="00C9284F">
      <w:pPr>
        <w:spacing w:after="0"/>
      </w:pPr>
    </w:p>
    <w:p w14:paraId="163AEA98" w14:textId="77777777" w:rsidR="00C9284F" w:rsidRDefault="00636D83">
      <w:r>
        <w:t>Do odstupanja od ostvarenja u izvještajnom razdoblju prethodne godine došlo je zbog povećanja potrošnje vode uslijed povratka Ureda na matičnu lokaciju nakon završetka obnove od potresa, primjene novog Pravilnika o proračunskom računovodstvu i računskom planu („Narodne novine“, broj 158/2023 i 154/2024), podmirenja pričuve za prostor na lokaciji Pavla Radića 26 i Trg bana Josipa Jelačića 3.</w:t>
      </w:r>
    </w:p>
    <w:p w14:paraId="6D468622" w14:textId="77777777" w:rsidR="00C9284F" w:rsidRDefault="00C9284F"/>
    <w:p w14:paraId="4594BA0A" w14:textId="77777777" w:rsidR="00C9284F" w:rsidRDefault="00636D83">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137229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B1FCDA"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3E34A0"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75BAAA"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86CBBF"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433CDF"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8312B9" w14:textId="77777777" w:rsidR="00C9284F" w:rsidRDefault="00636D83">
            <w:pPr>
              <w:keepNext/>
              <w:keepLines/>
              <w:spacing w:after="0" w:line="240" w:lineRule="auto"/>
              <w:jc w:val="center"/>
            </w:pPr>
            <w:r>
              <w:rPr>
                <w:b/>
                <w:sz w:val="18"/>
              </w:rPr>
              <w:t>Indeks (%)</w:t>
            </w:r>
          </w:p>
        </w:tc>
      </w:tr>
      <w:tr w:rsidR="00C9284F" w14:paraId="5D8CBE8C" w14:textId="77777777">
        <w:tblPrEx>
          <w:tblCellMar>
            <w:top w:w="0" w:type="dxa"/>
            <w:bottom w:w="0" w:type="dxa"/>
          </w:tblCellMar>
        </w:tblPrEx>
        <w:trPr>
          <w:cantSplit/>
          <w:trHeight w:val="560"/>
        </w:trPr>
        <w:tc>
          <w:tcPr>
            <w:tcW w:w="700" w:type="dxa"/>
            <w:tcMar>
              <w:top w:w="0" w:type="dxa"/>
              <w:bottom w:w="0" w:type="dxa"/>
            </w:tcMar>
            <w:vAlign w:val="center"/>
          </w:tcPr>
          <w:p w14:paraId="1DB4114F" w14:textId="77777777" w:rsidR="00C9284F" w:rsidRDefault="00636D83">
            <w:pPr>
              <w:keepNext/>
              <w:keepLines/>
              <w:spacing w:after="0" w:line="240" w:lineRule="auto"/>
            </w:pPr>
            <w:r>
              <w:rPr>
                <w:sz w:val="18"/>
              </w:rPr>
              <w:t>3235</w:t>
            </w:r>
          </w:p>
        </w:tc>
        <w:tc>
          <w:tcPr>
            <w:tcW w:w="3180" w:type="dxa"/>
            <w:tcMar>
              <w:top w:w="0" w:type="dxa"/>
              <w:bottom w:w="0" w:type="dxa"/>
            </w:tcMar>
            <w:vAlign w:val="center"/>
          </w:tcPr>
          <w:p w14:paraId="2008B4EE" w14:textId="77777777" w:rsidR="00C9284F" w:rsidRDefault="00636D83">
            <w:pPr>
              <w:keepNext/>
              <w:keepLines/>
              <w:spacing w:after="0" w:line="240" w:lineRule="auto"/>
            </w:pPr>
            <w:r>
              <w:rPr>
                <w:sz w:val="18"/>
              </w:rPr>
              <w:t>Zakupnine i najamnine</w:t>
            </w:r>
          </w:p>
        </w:tc>
        <w:tc>
          <w:tcPr>
            <w:tcW w:w="700" w:type="dxa"/>
            <w:tcMar>
              <w:top w:w="0" w:type="dxa"/>
              <w:bottom w:w="0" w:type="dxa"/>
            </w:tcMar>
            <w:vAlign w:val="center"/>
          </w:tcPr>
          <w:p w14:paraId="0911CEE7" w14:textId="77777777" w:rsidR="00C9284F" w:rsidRDefault="00636D83">
            <w:pPr>
              <w:keepNext/>
              <w:keepLines/>
              <w:spacing w:after="0" w:line="240" w:lineRule="auto"/>
            </w:pPr>
            <w:r>
              <w:rPr>
                <w:sz w:val="18"/>
              </w:rPr>
              <w:t>3235</w:t>
            </w:r>
          </w:p>
        </w:tc>
        <w:tc>
          <w:tcPr>
            <w:tcW w:w="1860" w:type="dxa"/>
            <w:tcMar>
              <w:top w:w="0" w:type="dxa"/>
              <w:bottom w:w="0" w:type="dxa"/>
            </w:tcMar>
            <w:vAlign w:val="center"/>
          </w:tcPr>
          <w:p w14:paraId="0B3B2F7D" w14:textId="77777777" w:rsidR="00C9284F" w:rsidRDefault="00636D83">
            <w:pPr>
              <w:keepNext/>
              <w:keepLines/>
              <w:spacing w:after="0" w:line="240" w:lineRule="auto"/>
              <w:jc w:val="right"/>
            </w:pPr>
            <w:r>
              <w:rPr>
                <w:sz w:val="18"/>
              </w:rPr>
              <w:t>296.168,37</w:t>
            </w:r>
          </w:p>
        </w:tc>
        <w:tc>
          <w:tcPr>
            <w:tcW w:w="1860" w:type="dxa"/>
            <w:tcMar>
              <w:top w:w="0" w:type="dxa"/>
              <w:bottom w:w="0" w:type="dxa"/>
            </w:tcMar>
            <w:vAlign w:val="center"/>
          </w:tcPr>
          <w:p w14:paraId="78999165" w14:textId="77777777" w:rsidR="00C9284F" w:rsidRDefault="00636D83">
            <w:pPr>
              <w:keepNext/>
              <w:keepLines/>
              <w:spacing w:after="0" w:line="240" w:lineRule="auto"/>
              <w:jc w:val="right"/>
            </w:pPr>
            <w:r>
              <w:rPr>
                <w:sz w:val="18"/>
              </w:rPr>
              <w:t>122.943,81</w:t>
            </w:r>
          </w:p>
        </w:tc>
        <w:tc>
          <w:tcPr>
            <w:tcW w:w="700" w:type="dxa"/>
            <w:tcMar>
              <w:top w:w="0" w:type="dxa"/>
              <w:bottom w:w="0" w:type="dxa"/>
            </w:tcMar>
            <w:vAlign w:val="center"/>
          </w:tcPr>
          <w:p w14:paraId="366BB85E" w14:textId="77777777" w:rsidR="00C9284F" w:rsidRDefault="00636D83">
            <w:pPr>
              <w:keepNext/>
              <w:keepLines/>
              <w:spacing w:after="0" w:line="240" w:lineRule="auto"/>
              <w:jc w:val="right"/>
            </w:pPr>
            <w:r>
              <w:rPr>
                <w:sz w:val="18"/>
              </w:rPr>
              <w:t>41,5</w:t>
            </w:r>
          </w:p>
        </w:tc>
      </w:tr>
    </w:tbl>
    <w:p w14:paraId="7B76D6E0" w14:textId="77777777" w:rsidR="00C9284F" w:rsidRDefault="00C9284F">
      <w:pPr>
        <w:spacing w:after="0"/>
      </w:pPr>
    </w:p>
    <w:p w14:paraId="191E3D4C" w14:textId="77777777" w:rsidR="00C9284F" w:rsidRDefault="00636D83">
      <w:r>
        <w:t>Do odstupanja od ostvarenja u izvještajnom razdoblju prethodne godine došlo je zbog prestanka potrebe za najmom dodatne lokacije i preseljenja Ureda na matičnu lokaciju nakon obnove palače Bužan od posljedica potresa te prestanka operativnog leasinga. </w:t>
      </w:r>
    </w:p>
    <w:p w14:paraId="38225212" w14:textId="77777777" w:rsidR="00C9284F" w:rsidRDefault="00C9284F"/>
    <w:p w14:paraId="17B33EA1" w14:textId="77777777" w:rsidR="00C9284F" w:rsidRDefault="00636D83">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6A651D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7661E8"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96DCB2"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9D6339"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F42AEC"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1F4F77"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3856C1" w14:textId="77777777" w:rsidR="00C9284F" w:rsidRDefault="00636D83">
            <w:pPr>
              <w:keepNext/>
              <w:keepLines/>
              <w:spacing w:after="0" w:line="240" w:lineRule="auto"/>
              <w:jc w:val="center"/>
            </w:pPr>
            <w:r>
              <w:rPr>
                <w:b/>
                <w:sz w:val="18"/>
              </w:rPr>
              <w:t>Indeks (%)</w:t>
            </w:r>
          </w:p>
        </w:tc>
      </w:tr>
      <w:tr w:rsidR="00C9284F" w14:paraId="3C3E4612" w14:textId="77777777">
        <w:tblPrEx>
          <w:tblCellMar>
            <w:top w:w="0" w:type="dxa"/>
            <w:bottom w:w="0" w:type="dxa"/>
          </w:tblCellMar>
        </w:tblPrEx>
        <w:trPr>
          <w:cantSplit/>
          <w:trHeight w:val="560"/>
        </w:trPr>
        <w:tc>
          <w:tcPr>
            <w:tcW w:w="700" w:type="dxa"/>
            <w:tcMar>
              <w:top w:w="0" w:type="dxa"/>
              <w:bottom w:w="0" w:type="dxa"/>
            </w:tcMar>
            <w:vAlign w:val="center"/>
          </w:tcPr>
          <w:p w14:paraId="441F9DC7" w14:textId="77777777" w:rsidR="00C9284F" w:rsidRDefault="00636D83">
            <w:pPr>
              <w:keepNext/>
              <w:keepLines/>
              <w:spacing w:after="0" w:line="240" w:lineRule="auto"/>
            </w:pPr>
            <w:r>
              <w:rPr>
                <w:sz w:val="18"/>
              </w:rPr>
              <w:t>3236</w:t>
            </w:r>
          </w:p>
        </w:tc>
        <w:tc>
          <w:tcPr>
            <w:tcW w:w="3180" w:type="dxa"/>
            <w:tcMar>
              <w:top w:w="0" w:type="dxa"/>
              <w:bottom w:w="0" w:type="dxa"/>
            </w:tcMar>
            <w:vAlign w:val="center"/>
          </w:tcPr>
          <w:p w14:paraId="0BF4B55C" w14:textId="77777777" w:rsidR="00C9284F" w:rsidRDefault="00636D83">
            <w:pPr>
              <w:keepNext/>
              <w:keepLines/>
              <w:spacing w:after="0" w:line="240" w:lineRule="auto"/>
            </w:pPr>
            <w:r>
              <w:rPr>
                <w:sz w:val="18"/>
              </w:rPr>
              <w:t>Zdravstvene i veterinarske usluge</w:t>
            </w:r>
          </w:p>
        </w:tc>
        <w:tc>
          <w:tcPr>
            <w:tcW w:w="700" w:type="dxa"/>
            <w:tcMar>
              <w:top w:w="0" w:type="dxa"/>
              <w:bottom w:w="0" w:type="dxa"/>
            </w:tcMar>
            <w:vAlign w:val="center"/>
          </w:tcPr>
          <w:p w14:paraId="45DE4AA3" w14:textId="77777777" w:rsidR="00C9284F" w:rsidRDefault="00636D83">
            <w:pPr>
              <w:keepNext/>
              <w:keepLines/>
              <w:spacing w:after="0" w:line="240" w:lineRule="auto"/>
            </w:pPr>
            <w:r>
              <w:rPr>
                <w:sz w:val="18"/>
              </w:rPr>
              <w:t>3236</w:t>
            </w:r>
          </w:p>
        </w:tc>
        <w:tc>
          <w:tcPr>
            <w:tcW w:w="1860" w:type="dxa"/>
            <w:tcMar>
              <w:top w:w="0" w:type="dxa"/>
              <w:bottom w:w="0" w:type="dxa"/>
            </w:tcMar>
            <w:vAlign w:val="center"/>
          </w:tcPr>
          <w:p w14:paraId="7BE21C3D" w14:textId="77777777" w:rsidR="00C9284F" w:rsidRDefault="00636D83">
            <w:pPr>
              <w:keepNext/>
              <w:keepLines/>
              <w:spacing w:after="0" w:line="240" w:lineRule="auto"/>
              <w:jc w:val="right"/>
            </w:pPr>
            <w:r>
              <w:rPr>
                <w:sz w:val="18"/>
              </w:rPr>
              <w:t>12.171,55</w:t>
            </w:r>
          </w:p>
        </w:tc>
        <w:tc>
          <w:tcPr>
            <w:tcW w:w="1860" w:type="dxa"/>
            <w:tcMar>
              <w:top w:w="0" w:type="dxa"/>
              <w:bottom w:w="0" w:type="dxa"/>
            </w:tcMar>
            <w:vAlign w:val="center"/>
          </w:tcPr>
          <w:p w14:paraId="2C6245E0" w14:textId="77777777" w:rsidR="00C9284F" w:rsidRDefault="00636D83">
            <w:pPr>
              <w:keepNext/>
              <w:keepLines/>
              <w:spacing w:after="0" w:line="240" w:lineRule="auto"/>
              <w:jc w:val="right"/>
            </w:pPr>
            <w:r>
              <w:rPr>
                <w:sz w:val="18"/>
              </w:rPr>
              <w:t>22.073,24</w:t>
            </w:r>
          </w:p>
        </w:tc>
        <w:tc>
          <w:tcPr>
            <w:tcW w:w="700" w:type="dxa"/>
            <w:tcMar>
              <w:top w:w="0" w:type="dxa"/>
              <w:bottom w:w="0" w:type="dxa"/>
            </w:tcMar>
            <w:vAlign w:val="center"/>
          </w:tcPr>
          <w:p w14:paraId="511F63A3" w14:textId="77777777" w:rsidR="00C9284F" w:rsidRDefault="00636D83">
            <w:pPr>
              <w:keepNext/>
              <w:keepLines/>
              <w:spacing w:after="0" w:line="240" w:lineRule="auto"/>
              <w:jc w:val="right"/>
            </w:pPr>
            <w:r>
              <w:rPr>
                <w:sz w:val="18"/>
              </w:rPr>
              <w:t>181,4</w:t>
            </w:r>
          </w:p>
        </w:tc>
      </w:tr>
    </w:tbl>
    <w:p w14:paraId="3C1302EC" w14:textId="77777777" w:rsidR="00C9284F" w:rsidRDefault="00C9284F">
      <w:pPr>
        <w:spacing w:after="0"/>
      </w:pPr>
    </w:p>
    <w:p w14:paraId="4063DE2B" w14:textId="77777777" w:rsidR="00C9284F" w:rsidRDefault="00636D83">
      <w:r>
        <w:t>Do odstupanja od ostvarenja u izvještajnom razdoblju prethodne godine došlo je zbog sistematskih pregleda djelatnika Ureda sukladno terminskom planu obavljanja istih.</w:t>
      </w:r>
    </w:p>
    <w:p w14:paraId="524EE792" w14:textId="77777777" w:rsidR="00C9284F" w:rsidRDefault="00C9284F"/>
    <w:p w14:paraId="38169E9C" w14:textId="77777777" w:rsidR="00C9284F" w:rsidRDefault="00636D83">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7CD802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CFA6F4"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44C823"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BEDD54"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3DA7AC"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564840"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1EA620" w14:textId="77777777" w:rsidR="00C9284F" w:rsidRDefault="00636D83">
            <w:pPr>
              <w:keepNext/>
              <w:keepLines/>
              <w:spacing w:after="0" w:line="240" w:lineRule="auto"/>
              <w:jc w:val="center"/>
            </w:pPr>
            <w:r>
              <w:rPr>
                <w:b/>
                <w:sz w:val="18"/>
              </w:rPr>
              <w:t>Indeks (%)</w:t>
            </w:r>
          </w:p>
        </w:tc>
      </w:tr>
      <w:tr w:rsidR="00C9284F" w14:paraId="3DFDE79E" w14:textId="77777777">
        <w:tblPrEx>
          <w:tblCellMar>
            <w:top w:w="0" w:type="dxa"/>
            <w:bottom w:w="0" w:type="dxa"/>
          </w:tblCellMar>
        </w:tblPrEx>
        <w:trPr>
          <w:cantSplit/>
          <w:trHeight w:val="560"/>
        </w:trPr>
        <w:tc>
          <w:tcPr>
            <w:tcW w:w="700" w:type="dxa"/>
            <w:tcMar>
              <w:top w:w="0" w:type="dxa"/>
              <w:bottom w:w="0" w:type="dxa"/>
            </w:tcMar>
            <w:vAlign w:val="center"/>
          </w:tcPr>
          <w:p w14:paraId="05E5B3E9" w14:textId="77777777" w:rsidR="00C9284F" w:rsidRDefault="00636D83">
            <w:pPr>
              <w:keepNext/>
              <w:keepLines/>
              <w:spacing w:after="0" w:line="240" w:lineRule="auto"/>
            </w:pPr>
            <w:r>
              <w:rPr>
                <w:sz w:val="18"/>
              </w:rPr>
              <w:t>3237</w:t>
            </w:r>
          </w:p>
        </w:tc>
        <w:tc>
          <w:tcPr>
            <w:tcW w:w="3180" w:type="dxa"/>
            <w:tcMar>
              <w:top w:w="0" w:type="dxa"/>
              <w:bottom w:w="0" w:type="dxa"/>
            </w:tcMar>
            <w:vAlign w:val="center"/>
          </w:tcPr>
          <w:p w14:paraId="5833B468" w14:textId="77777777" w:rsidR="00C9284F" w:rsidRDefault="00636D83">
            <w:pPr>
              <w:keepNext/>
              <w:keepLines/>
              <w:spacing w:after="0" w:line="240" w:lineRule="auto"/>
            </w:pPr>
            <w:r>
              <w:rPr>
                <w:sz w:val="18"/>
              </w:rPr>
              <w:t>Intelektualne i osobne usluge</w:t>
            </w:r>
          </w:p>
        </w:tc>
        <w:tc>
          <w:tcPr>
            <w:tcW w:w="700" w:type="dxa"/>
            <w:tcMar>
              <w:top w:w="0" w:type="dxa"/>
              <w:bottom w:w="0" w:type="dxa"/>
            </w:tcMar>
            <w:vAlign w:val="center"/>
          </w:tcPr>
          <w:p w14:paraId="529CCD8D" w14:textId="77777777" w:rsidR="00C9284F" w:rsidRDefault="00636D83">
            <w:pPr>
              <w:keepNext/>
              <w:keepLines/>
              <w:spacing w:after="0" w:line="240" w:lineRule="auto"/>
            </w:pPr>
            <w:r>
              <w:rPr>
                <w:sz w:val="18"/>
              </w:rPr>
              <w:t>3237</w:t>
            </w:r>
          </w:p>
        </w:tc>
        <w:tc>
          <w:tcPr>
            <w:tcW w:w="1860" w:type="dxa"/>
            <w:tcMar>
              <w:top w:w="0" w:type="dxa"/>
              <w:bottom w:w="0" w:type="dxa"/>
            </w:tcMar>
            <w:vAlign w:val="center"/>
          </w:tcPr>
          <w:p w14:paraId="648676E8" w14:textId="77777777" w:rsidR="00C9284F" w:rsidRDefault="00636D83">
            <w:pPr>
              <w:keepNext/>
              <w:keepLines/>
              <w:spacing w:after="0" w:line="240" w:lineRule="auto"/>
              <w:jc w:val="right"/>
            </w:pPr>
            <w:r>
              <w:rPr>
                <w:sz w:val="18"/>
              </w:rPr>
              <w:t>41.648,45</w:t>
            </w:r>
          </w:p>
        </w:tc>
        <w:tc>
          <w:tcPr>
            <w:tcW w:w="1860" w:type="dxa"/>
            <w:tcMar>
              <w:top w:w="0" w:type="dxa"/>
              <w:bottom w:w="0" w:type="dxa"/>
            </w:tcMar>
            <w:vAlign w:val="center"/>
          </w:tcPr>
          <w:p w14:paraId="158C9693" w14:textId="77777777" w:rsidR="00C9284F" w:rsidRDefault="00636D83">
            <w:pPr>
              <w:keepNext/>
              <w:keepLines/>
              <w:spacing w:after="0" w:line="240" w:lineRule="auto"/>
              <w:jc w:val="right"/>
            </w:pPr>
            <w:r>
              <w:rPr>
                <w:sz w:val="18"/>
              </w:rPr>
              <w:t>25.444,62</w:t>
            </w:r>
          </w:p>
        </w:tc>
        <w:tc>
          <w:tcPr>
            <w:tcW w:w="700" w:type="dxa"/>
            <w:tcMar>
              <w:top w:w="0" w:type="dxa"/>
              <w:bottom w:w="0" w:type="dxa"/>
            </w:tcMar>
            <w:vAlign w:val="center"/>
          </w:tcPr>
          <w:p w14:paraId="4D793548" w14:textId="77777777" w:rsidR="00C9284F" w:rsidRDefault="00636D83">
            <w:pPr>
              <w:keepNext/>
              <w:keepLines/>
              <w:spacing w:after="0" w:line="240" w:lineRule="auto"/>
              <w:jc w:val="right"/>
            </w:pPr>
            <w:r>
              <w:rPr>
                <w:sz w:val="18"/>
              </w:rPr>
              <w:t>61,1</w:t>
            </w:r>
          </w:p>
        </w:tc>
      </w:tr>
    </w:tbl>
    <w:p w14:paraId="50AB77C8" w14:textId="77777777" w:rsidR="00C9284F" w:rsidRDefault="00C9284F">
      <w:pPr>
        <w:spacing w:after="0"/>
      </w:pPr>
    </w:p>
    <w:p w14:paraId="5D1F1643" w14:textId="77777777" w:rsidR="00C9284F" w:rsidRDefault="00636D83">
      <w:r>
        <w:t>Do odstupanja od ostvarenja u izvještajnom razdoblju prethodne godine došlo je zbog izrade projektne dokumentacije opremanja uredskog prostora, energetskog certifikata nakon provedene energetske obnove palače Bužan te projektne dokumentacije novog vodovodnog priključka i vodomjernog okna na lokaciji Opatička 8 u 2024. godini.</w:t>
      </w:r>
    </w:p>
    <w:p w14:paraId="0CA5E3AE" w14:textId="77777777" w:rsidR="00C9284F" w:rsidRDefault="00C9284F"/>
    <w:p w14:paraId="531C4DCC" w14:textId="77777777" w:rsidR="00C9284F" w:rsidRDefault="00636D83">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7477A7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E15ECD"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FEDA8F"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134BA1"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495BB7"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5081D3"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916FB7" w14:textId="77777777" w:rsidR="00C9284F" w:rsidRDefault="00636D83">
            <w:pPr>
              <w:keepNext/>
              <w:keepLines/>
              <w:spacing w:after="0" w:line="240" w:lineRule="auto"/>
              <w:jc w:val="center"/>
            </w:pPr>
            <w:r>
              <w:rPr>
                <w:b/>
                <w:sz w:val="18"/>
              </w:rPr>
              <w:t>Indeks (%)</w:t>
            </w:r>
          </w:p>
        </w:tc>
      </w:tr>
      <w:tr w:rsidR="00C9284F" w14:paraId="2473B2D5" w14:textId="77777777">
        <w:tblPrEx>
          <w:tblCellMar>
            <w:top w:w="0" w:type="dxa"/>
            <w:bottom w:w="0" w:type="dxa"/>
          </w:tblCellMar>
        </w:tblPrEx>
        <w:trPr>
          <w:cantSplit/>
          <w:trHeight w:val="560"/>
        </w:trPr>
        <w:tc>
          <w:tcPr>
            <w:tcW w:w="700" w:type="dxa"/>
            <w:tcMar>
              <w:top w:w="0" w:type="dxa"/>
              <w:bottom w:w="0" w:type="dxa"/>
            </w:tcMar>
            <w:vAlign w:val="center"/>
          </w:tcPr>
          <w:p w14:paraId="2D585868" w14:textId="77777777" w:rsidR="00C9284F" w:rsidRDefault="00636D83">
            <w:pPr>
              <w:keepNext/>
              <w:keepLines/>
              <w:spacing w:after="0" w:line="240" w:lineRule="auto"/>
            </w:pPr>
            <w:r>
              <w:rPr>
                <w:sz w:val="18"/>
              </w:rPr>
              <w:t>3238</w:t>
            </w:r>
          </w:p>
        </w:tc>
        <w:tc>
          <w:tcPr>
            <w:tcW w:w="3180" w:type="dxa"/>
            <w:tcMar>
              <w:top w:w="0" w:type="dxa"/>
              <w:bottom w:w="0" w:type="dxa"/>
            </w:tcMar>
            <w:vAlign w:val="center"/>
          </w:tcPr>
          <w:p w14:paraId="314467EC" w14:textId="77777777" w:rsidR="00C9284F" w:rsidRDefault="00636D83">
            <w:pPr>
              <w:keepNext/>
              <w:keepLines/>
              <w:spacing w:after="0" w:line="240" w:lineRule="auto"/>
            </w:pPr>
            <w:r>
              <w:rPr>
                <w:sz w:val="18"/>
              </w:rPr>
              <w:t>Računalne usluge</w:t>
            </w:r>
          </w:p>
        </w:tc>
        <w:tc>
          <w:tcPr>
            <w:tcW w:w="700" w:type="dxa"/>
            <w:tcMar>
              <w:top w:w="0" w:type="dxa"/>
              <w:bottom w:w="0" w:type="dxa"/>
            </w:tcMar>
            <w:vAlign w:val="center"/>
          </w:tcPr>
          <w:p w14:paraId="28538FEB" w14:textId="77777777" w:rsidR="00C9284F" w:rsidRDefault="00636D83">
            <w:pPr>
              <w:keepNext/>
              <w:keepLines/>
              <w:spacing w:after="0" w:line="240" w:lineRule="auto"/>
            </w:pPr>
            <w:r>
              <w:rPr>
                <w:sz w:val="18"/>
              </w:rPr>
              <w:t>3238</w:t>
            </w:r>
          </w:p>
        </w:tc>
        <w:tc>
          <w:tcPr>
            <w:tcW w:w="1860" w:type="dxa"/>
            <w:tcMar>
              <w:top w:w="0" w:type="dxa"/>
              <w:bottom w:w="0" w:type="dxa"/>
            </w:tcMar>
            <w:vAlign w:val="center"/>
          </w:tcPr>
          <w:p w14:paraId="28C4F347" w14:textId="77777777" w:rsidR="00C9284F" w:rsidRDefault="00636D83">
            <w:pPr>
              <w:keepNext/>
              <w:keepLines/>
              <w:spacing w:after="0" w:line="240" w:lineRule="auto"/>
              <w:jc w:val="right"/>
            </w:pPr>
            <w:r>
              <w:rPr>
                <w:sz w:val="18"/>
              </w:rPr>
              <w:t>115.461,28</w:t>
            </w:r>
          </w:p>
        </w:tc>
        <w:tc>
          <w:tcPr>
            <w:tcW w:w="1860" w:type="dxa"/>
            <w:tcMar>
              <w:top w:w="0" w:type="dxa"/>
              <w:bottom w:w="0" w:type="dxa"/>
            </w:tcMar>
            <w:vAlign w:val="center"/>
          </w:tcPr>
          <w:p w14:paraId="26B5BA85" w14:textId="77777777" w:rsidR="00C9284F" w:rsidRDefault="00636D83">
            <w:pPr>
              <w:keepNext/>
              <w:keepLines/>
              <w:spacing w:after="0" w:line="240" w:lineRule="auto"/>
              <w:jc w:val="right"/>
            </w:pPr>
            <w:r>
              <w:rPr>
                <w:sz w:val="18"/>
              </w:rPr>
              <w:t>139.682,64</w:t>
            </w:r>
          </w:p>
        </w:tc>
        <w:tc>
          <w:tcPr>
            <w:tcW w:w="700" w:type="dxa"/>
            <w:tcMar>
              <w:top w:w="0" w:type="dxa"/>
              <w:bottom w:w="0" w:type="dxa"/>
            </w:tcMar>
            <w:vAlign w:val="center"/>
          </w:tcPr>
          <w:p w14:paraId="24C13DFC" w14:textId="77777777" w:rsidR="00C9284F" w:rsidRDefault="00636D83">
            <w:pPr>
              <w:keepNext/>
              <w:keepLines/>
              <w:spacing w:after="0" w:line="240" w:lineRule="auto"/>
              <w:jc w:val="right"/>
            </w:pPr>
            <w:r>
              <w:rPr>
                <w:sz w:val="18"/>
              </w:rPr>
              <w:t>121,0</w:t>
            </w:r>
          </w:p>
        </w:tc>
      </w:tr>
    </w:tbl>
    <w:p w14:paraId="05A05765" w14:textId="77777777" w:rsidR="00C9284F" w:rsidRDefault="00C9284F">
      <w:pPr>
        <w:spacing w:after="0"/>
      </w:pPr>
    </w:p>
    <w:p w14:paraId="73457223" w14:textId="77777777" w:rsidR="00C9284F" w:rsidRDefault="00636D83">
      <w:r>
        <w:t>Do odstupanja od ostvarenja u izvještajnom razdoblju prethodne godine došlo je zbog održavanja aplikacije eUred za cijelo obračunsko razdoblje, povećanja iznosa ugovora za održavanje IT sustava Ureda te primjene novog Pravilnika o proračunskom računovodstvu i računskom planu („Narodne novine“, broj 158/2023 i 154/2024).</w:t>
      </w:r>
    </w:p>
    <w:p w14:paraId="4A38AE9D" w14:textId="77777777" w:rsidR="00C9284F" w:rsidRDefault="00C9284F"/>
    <w:p w14:paraId="7B8F8749" w14:textId="77777777" w:rsidR="00C9284F" w:rsidRDefault="00636D83">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3056B3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45FBF2"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DF59A4"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7EC38B"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20729B"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D9663F"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3452BB" w14:textId="77777777" w:rsidR="00C9284F" w:rsidRDefault="00636D83">
            <w:pPr>
              <w:keepNext/>
              <w:keepLines/>
              <w:spacing w:after="0" w:line="240" w:lineRule="auto"/>
              <w:jc w:val="center"/>
            </w:pPr>
            <w:r>
              <w:rPr>
                <w:b/>
                <w:sz w:val="18"/>
              </w:rPr>
              <w:t>Indeks (%)</w:t>
            </w:r>
          </w:p>
        </w:tc>
      </w:tr>
      <w:tr w:rsidR="00C9284F" w14:paraId="1175B194" w14:textId="77777777">
        <w:tblPrEx>
          <w:tblCellMar>
            <w:top w:w="0" w:type="dxa"/>
            <w:bottom w:w="0" w:type="dxa"/>
          </w:tblCellMar>
        </w:tblPrEx>
        <w:trPr>
          <w:cantSplit/>
          <w:trHeight w:val="560"/>
        </w:trPr>
        <w:tc>
          <w:tcPr>
            <w:tcW w:w="700" w:type="dxa"/>
            <w:tcMar>
              <w:top w:w="0" w:type="dxa"/>
              <w:bottom w:w="0" w:type="dxa"/>
            </w:tcMar>
            <w:vAlign w:val="center"/>
          </w:tcPr>
          <w:p w14:paraId="093471AA" w14:textId="77777777" w:rsidR="00C9284F" w:rsidRDefault="00636D83">
            <w:pPr>
              <w:keepNext/>
              <w:keepLines/>
              <w:spacing w:after="0" w:line="240" w:lineRule="auto"/>
            </w:pPr>
            <w:r>
              <w:rPr>
                <w:sz w:val="18"/>
              </w:rPr>
              <w:t>3239</w:t>
            </w:r>
          </w:p>
        </w:tc>
        <w:tc>
          <w:tcPr>
            <w:tcW w:w="3180" w:type="dxa"/>
            <w:tcMar>
              <w:top w:w="0" w:type="dxa"/>
              <w:bottom w:w="0" w:type="dxa"/>
            </w:tcMar>
            <w:vAlign w:val="center"/>
          </w:tcPr>
          <w:p w14:paraId="3BF93703" w14:textId="77777777" w:rsidR="00C9284F" w:rsidRDefault="00636D83">
            <w:pPr>
              <w:keepNext/>
              <w:keepLines/>
              <w:spacing w:after="0" w:line="240" w:lineRule="auto"/>
            </w:pPr>
            <w:r>
              <w:rPr>
                <w:sz w:val="18"/>
              </w:rPr>
              <w:t>Ostale usluge</w:t>
            </w:r>
          </w:p>
        </w:tc>
        <w:tc>
          <w:tcPr>
            <w:tcW w:w="700" w:type="dxa"/>
            <w:tcMar>
              <w:top w:w="0" w:type="dxa"/>
              <w:bottom w:w="0" w:type="dxa"/>
            </w:tcMar>
            <w:vAlign w:val="center"/>
          </w:tcPr>
          <w:p w14:paraId="62C04707" w14:textId="77777777" w:rsidR="00C9284F" w:rsidRDefault="00636D83">
            <w:pPr>
              <w:keepNext/>
              <w:keepLines/>
              <w:spacing w:after="0" w:line="240" w:lineRule="auto"/>
            </w:pPr>
            <w:r>
              <w:rPr>
                <w:sz w:val="18"/>
              </w:rPr>
              <w:t>3239</w:t>
            </w:r>
          </w:p>
        </w:tc>
        <w:tc>
          <w:tcPr>
            <w:tcW w:w="1860" w:type="dxa"/>
            <w:tcMar>
              <w:top w:w="0" w:type="dxa"/>
              <w:bottom w:w="0" w:type="dxa"/>
            </w:tcMar>
            <w:vAlign w:val="center"/>
          </w:tcPr>
          <w:p w14:paraId="0571C8B0" w14:textId="77777777" w:rsidR="00C9284F" w:rsidRDefault="00636D83">
            <w:pPr>
              <w:keepNext/>
              <w:keepLines/>
              <w:spacing w:after="0" w:line="240" w:lineRule="auto"/>
              <w:jc w:val="right"/>
            </w:pPr>
            <w:r>
              <w:rPr>
                <w:sz w:val="18"/>
              </w:rPr>
              <w:t>91.543,98</w:t>
            </w:r>
          </w:p>
        </w:tc>
        <w:tc>
          <w:tcPr>
            <w:tcW w:w="1860" w:type="dxa"/>
            <w:tcMar>
              <w:top w:w="0" w:type="dxa"/>
              <w:bottom w:w="0" w:type="dxa"/>
            </w:tcMar>
            <w:vAlign w:val="center"/>
          </w:tcPr>
          <w:p w14:paraId="792CC60D" w14:textId="77777777" w:rsidR="00C9284F" w:rsidRDefault="00636D83">
            <w:pPr>
              <w:keepNext/>
              <w:keepLines/>
              <w:spacing w:after="0" w:line="240" w:lineRule="auto"/>
              <w:jc w:val="right"/>
            </w:pPr>
            <w:r>
              <w:rPr>
                <w:sz w:val="18"/>
              </w:rPr>
              <w:t>117.445,06</w:t>
            </w:r>
          </w:p>
        </w:tc>
        <w:tc>
          <w:tcPr>
            <w:tcW w:w="700" w:type="dxa"/>
            <w:tcMar>
              <w:top w:w="0" w:type="dxa"/>
              <w:bottom w:w="0" w:type="dxa"/>
            </w:tcMar>
            <w:vAlign w:val="center"/>
          </w:tcPr>
          <w:p w14:paraId="45B6D0D1" w14:textId="77777777" w:rsidR="00C9284F" w:rsidRDefault="00636D83">
            <w:pPr>
              <w:keepNext/>
              <w:keepLines/>
              <w:spacing w:after="0" w:line="240" w:lineRule="auto"/>
              <w:jc w:val="right"/>
            </w:pPr>
            <w:r>
              <w:rPr>
                <w:sz w:val="18"/>
              </w:rPr>
              <w:t>128,3</w:t>
            </w:r>
          </w:p>
        </w:tc>
      </w:tr>
    </w:tbl>
    <w:p w14:paraId="6B2A3176" w14:textId="77777777" w:rsidR="00C9284F" w:rsidRDefault="00C9284F">
      <w:pPr>
        <w:spacing w:after="0"/>
      </w:pPr>
    </w:p>
    <w:p w14:paraId="4CB86CA2" w14:textId="77777777" w:rsidR="00C9284F" w:rsidRDefault="00636D83">
      <w:r>
        <w:t>Do odstupanja od ostvarenja u izvještajnom razdoblju prethodne godine došlo je zbog preseljenja Hrvatskoga sabora na novu lokaciju i novog dobavljača usluge pripreme obroka što je u 2025. godini evidentirano za cijelo obračunsko razdoblje te primjene novog Pravilnika o proračunskom računovodstvu i računskom planu („Narodne novine“, broj 158/2023 i 154/2024).</w:t>
      </w:r>
    </w:p>
    <w:p w14:paraId="5A2C6AED" w14:textId="77777777" w:rsidR="00C9284F" w:rsidRDefault="00C9284F"/>
    <w:p w14:paraId="750EEB66" w14:textId="77777777" w:rsidR="00C9284F" w:rsidRDefault="00636D83">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180838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699812"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FBD9A8"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D9EA2F"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F9D2FC"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1FD315"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F195AF" w14:textId="77777777" w:rsidR="00C9284F" w:rsidRDefault="00636D83">
            <w:pPr>
              <w:keepNext/>
              <w:keepLines/>
              <w:spacing w:after="0" w:line="240" w:lineRule="auto"/>
              <w:jc w:val="center"/>
            </w:pPr>
            <w:r>
              <w:rPr>
                <w:b/>
                <w:sz w:val="18"/>
              </w:rPr>
              <w:t>Indeks (%)</w:t>
            </w:r>
          </w:p>
        </w:tc>
      </w:tr>
      <w:tr w:rsidR="00C9284F" w14:paraId="7DE8A32D" w14:textId="77777777">
        <w:tblPrEx>
          <w:tblCellMar>
            <w:top w:w="0" w:type="dxa"/>
            <w:bottom w:w="0" w:type="dxa"/>
          </w:tblCellMar>
        </w:tblPrEx>
        <w:trPr>
          <w:cantSplit/>
          <w:trHeight w:val="560"/>
        </w:trPr>
        <w:tc>
          <w:tcPr>
            <w:tcW w:w="700" w:type="dxa"/>
            <w:tcMar>
              <w:top w:w="0" w:type="dxa"/>
              <w:bottom w:w="0" w:type="dxa"/>
            </w:tcMar>
            <w:vAlign w:val="center"/>
          </w:tcPr>
          <w:p w14:paraId="0E623196" w14:textId="77777777" w:rsidR="00C9284F" w:rsidRDefault="00636D83">
            <w:pPr>
              <w:keepNext/>
              <w:keepLines/>
              <w:spacing w:after="0" w:line="240" w:lineRule="auto"/>
            </w:pPr>
            <w:r>
              <w:rPr>
                <w:sz w:val="18"/>
              </w:rPr>
              <w:t>3292</w:t>
            </w:r>
          </w:p>
        </w:tc>
        <w:tc>
          <w:tcPr>
            <w:tcW w:w="3180" w:type="dxa"/>
            <w:tcMar>
              <w:top w:w="0" w:type="dxa"/>
              <w:bottom w:w="0" w:type="dxa"/>
            </w:tcMar>
            <w:vAlign w:val="center"/>
          </w:tcPr>
          <w:p w14:paraId="68150E86" w14:textId="77777777" w:rsidR="00C9284F" w:rsidRDefault="00636D83">
            <w:pPr>
              <w:keepNext/>
              <w:keepLines/>
              <w:spacing w:after="0" w:line="240" w:lineRule="auto"/>
            </w:pPr>
            <w:r>
              <w:rPr>
                <w:sz w:val="18"/>
              </w:rPr>
              <w:t>Premije osiguranja</w:t>
            </w:r>
          </w:p>
        </w:tc>
        <w:tc>
          <w:tcPr>
            <w:tcW w:w="700" w:type="dxa"/>
            <w:tcMar>
              <w:top w:w="0" w:type="dxa"/>
              <w:bottom w:w="0" w:type="dxa"/>
            </w:tcMar>
            <w:vAlign w:val="center"/>
          </w:tcPr>
          <w:p w14:paraId="0ADB0C04" w14:textId="77777777" w:rsidR="00C9284F" w:rsidRDefault="00636D83">
            <w:pPr>
              <w:keepNext/>
              <w:keepLines/>
              <w:spacing w:after="0" w:line="240" w:lineRule="auto"/>
            </w:pPr>
            <w:r>
              <w:rPr>
                <w:sz w:val="18"/>
              </w:rPr>
              <w:t>3292</w:t>
            </w:r>
          </w:p>
        </w:tc>
        <w:tc>
          <w:tcPr>
            <w:tcW w:w="1860" w:type="dxa"/>
            <w:tcMar>
              <w:top w:w="0" w:type="dxa"/>
              <w:bottom w:w="0" w:type="dxa"/>
            </w:tcMar>
            <w:vAlign w:val="center"/>
          </w:tcPr>
          <w:p w14:paraId="1068A70F" w14:textId="77777777" w:rsidR="00C9284F" w:rsidRDefault="00636D83">
            <w:pPr>
              <w:keepNext/>
              <w:keepLines/>
              <w:spacing w:after="0" w:line="240" w:lineRule="auto"/>
              <w:jc w:val="right"/>
            </w:pPr>
            <w:r>
              <w:rPr>
                <w:sz w:val="18"/>
              </w:rPr>
              <w:t>40.981,06</w:t>
            </w:r>
          </w:p>
        </w:tc>
        <w:tc>
          <w:tcPr>
            <w:tcW w:w="1860" w:type="dxa"/>
            <w:tcMar>
              <w:top w:w="0" w:type="dxa"/>
              <w:bottom w:w="0" w:type="dxa"/>
            </w:tcMar>
            <w:vAlign w:val="center"/>
          </w:tcPr>
          <w:p w14:paraId="19DDA75E" w14:textId="77777777" w:rsidR="00C9284F" w:rsidRDefault="00636D83">
            <w:pPr>
              <w:keepNext/>
              <w:keepLines/>
              <w:spacing w:after="0" w:line="240" w:lineRule="auto"/>
              <w:jc w:val="right"/>
            </w:pPr>
            <w:r>
              <w:rPr>
                <w:sz w:val="18"/>
              </w:rPr>
              <w:t>30.712,77</w:t>
            </w:r>
          </w:p>
        </w:tc>
        <w:tc>
          <w:tcPr>
            <w:tcW w:w="700" w:type="dxa"/>
            <w:tcMar>
              <w:top w:w="0" w:type="dxa"/>
              <w:bottom w:w="0" w:type="dxa"/>
            </w:tcMar>
            <w:vAlign w:val="center"/>
          </w:tcPr>
          <w:p w14:paraId="676A8E79" w14:textId="77777777" w:rsidR="00C9284F" w:rsidRDefault="00636D83">
            <w:pPr>
              <w:keepNext/>
              <w:keepLines/>
              <w:spacing w:after="0" w:line="240" w:lineRule="auto"/>
              <w:jc w:val="right"/>
            </w:pPr>
            <w:r>
              <w:rPr>
                <w:sz w:val="18"/>
              </w:rPr>
              <w:t>74,9</w:t>
            </w:r>
          </w:p>
        </w:tc>
      </w:tr>
    </w:tbl>
    <w:p w14:paraId="60C8F2C7" w14:textId="77777777" w:rsidR="00C9284F" w:rsidRDefault="00C9284F">
      <w:pPr>
        <w:spacing w:after="0"/>
      </w:pPr>
    </w:p>
    <w:p w14:paraId="181698D5" w14:textId="77777777" w:rsidR="00C9284F" w:rsidRDefault="00636D83">
      <w:r>
        <w:t>Do odstupanja od ostvarenja u izvještajnom razdoblju prethodne godine došlo je zbog smanjenja broja službenih automobila za koja se ugovarala premija osiguranja.</w:t>
      </w:r>
    </w:p>
    <w:p w14:paraId="35F1E35E" w14:textId="77777777" w:rsidR="00C9284F" w:rsidRDefault="00C9284F"/>
    <w:p w14:paraId="1BAC6BA3" w14:textId="77777777" w:rsidR="00C9284F" w:rsidRDefault="00636D83">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042894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AA0190"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0AD7BD"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03531E"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985720"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534D6D"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CE3087" w14:textId="77777777" w:rsidR="00C9284F" w:rsidRDefault="00636D83">
            <w:pPr>
              <w:keepNext/>
              <w:keepLines/>
              <w:spacing w:after="0" w:line="240" w:lineRule="auto"/>
              <w:jc w:val="center"/>
            </w:pPr>
            <w:r>
              <w:rPr>
                <w:b/>
                <w:sz w:val="18"/>
              </w:rPr>
              <w:t>Indeks (%)</w:t>
            </w:r>
          </w:p>
        </w:tc>
      </w:tr>
      <w:tr w:rsidR="00C9284F" w14:paraId="06F484E7" w14:textId="77777777">
        <w:tblPrEx>
          <w:tblCellMar>
            <w:top w:w="0" w:type="dxa"/>
            <w:bottom w:w="0" w:type="dxa"/>
          </w:tblCellMar>
        </w:tblPrEx>
        <w:trPr>
          <w:cantSplit/>
          <w:trHeight w:val="560"/>
        </w:trPr>
        <w:tc>
          <w:tcPr>
            <w:tcW w:w="700" w:type="dxa"/>
            <w:tcMar>
              <w:top w:w="0" w:type="dxa"/>
              <w:bottom w:w="0" w:type="dxa"/>
            </w:tcMar>
            <w:vAlign w:val="center"/>
          </w:tcPr>
          <w:p w14:paraId="23D1A901" w14:textId="77777777" w:rsidR="00C9284F" w:rsidRDefault="00636D83">
            <w:pPr>
              <w:keepNext/>
              <w:keepLines/>
              <w:spacing w:after="0" w:line="240" w:lineRule="auto"/>
            </w:pPr>
            <w:r>
              <w:rPr>
                <w:sz w:val="18"/>
              </w:rPr>
              <w:t>3293</w:t>
            </w:r>
          </w:p>
        </w:tc>
        <w:tc>
          <w:tcPr>
            <w:tcW w:w="3180" w:type="dxa"/>
            <w:tcMar>
              <w:top w:w="0" w:type="dxa"/>
              <w:bottom w:w="0" w:type="dxa"/>
            </w:tcMar>
            <w:vAlign w:val="center"/>
          </w:tcPr>
          <w:p w14:paraId="3D4D5BB0" w14:textId="77777777" w:rsidR="00C9284F" w:rsidRDefault="00636D83">
            <w:pPr>
              <w:keepNext/>
              <w:keepLines/>
              <w:spacing w:after="0" w:line="240" w:lineRule="auto"/>
            </w:pPr>
            <w:r>
              <w:rPr>
                <w:sz w:val="18"/>
              </w:rPr>
              <w:t>Reprezentacija</w:t>
            </w:r>
          </w:p>
        </w:tc>
        <w:tc>
          <w:tcPr>
            <w:tcW w:w="700" w:type="dxa"/>
            <w:tcMar>
              <w:top w:w="0" w:type="dxa"/>
              <w:bottom w:w="0" w:type="dxa"/>
            </w:tcMar>
            <w:vAlign w:val="center"/>
          </w:tcPr>
          <w:p w14:paraId="5BC33DFC" w14:textId="77777777" w:rsidR="00C9284F" w:rsidRDefault="00636D83">
            <w:pPr>
              <w:keepNext/>
              <w:keepLines/>
              <w:spacing w:after="0" w:line="240" w:lineRule="auto"/>
            </w:pPr>
            <w:r>
              <w:rPr>
                <w:sz w:val="18"/>
              </w:rPr>
              <w:t>3293</w:t>
            </w:r>
          </w:p>
        </w:tc>
        <w:tc>
          <w:tcPr>
            <w:tcW w:w="1860" w:type="dxa"/>
            <w:tcMar>
              <w:top w:w="0" w:type="dxa"/>
              <w:bottom w:w="0" w:type="dxa"/>
            </w:tcMar>
            <w:vAlign w:val="center"/>
          </w:tcPr>
          <w:p w14:paraId="6C2DDE96" w14:textId="77777777" w:rsidR="00C9284F" w:rsidRDefault="00636D83">
            <w:pPr>
              <w:keepNext/>
              <w:keepLines/>
              <w:spacing w:after="0" w:line="240" w:lineRule="auto"/>
              <w:jc w:val="right"/>
            </w:pPr>
            <w:r>
              <w:rPr>
                <w:sz w:val="18"/>
              </w:rPr>
              <w:t>1.108,95</w:t>
            </w:r>
          </w:p>
        </w:tc>
        <w:tc>
          <w:tcPr>
            <w:tcW w:w="1860" w:type="dxa"/>
            <w:tcMar>
              <w:top w:w="0" w:type="dxa"/>
              <w:bottom w:w="0" w:type="dxa"/>
            </w:tcMar>
            <w:vAlign w:val="center"/>
          </w:tcPr>
          <w:p w14:paraId="36C10BDE" w14:textId="77777777" w:rsidR="00C9284F" w:rsidRDefault="00636D83">
            <w:pPr>
              <w:keepNext/>
              <w:keepLines/>
              <w:spacing w:after="0" w:line="240" w:lineRule="auto"/>
              <w:jc w:val="right"/>
            </w:pPr>
            <w:r>
              <w:rPr>
                <w:sz w:val="18"/>
              </w:rPr>
              <w:t>108,10</w:t>
            </w:r>
          </w:p>
        </w:tc>
        <w:tc>
          <w:tcPr>
            <w:tcW w:w="700" w:type="dxa"/>
            <w:tcMar>
              <w:top w:w="0" w:type="dxa"/>
              <w:bottom w:w="0" w:type="dxa"/>
            </w:tcMar>
            <w:vAlign w:val="center"/>
          </w:tcPr>
          <w:p w14:paraId="26F1025E" w14:textId="77777777" w:rsidR="00C9284F" w:rsidRDefault="00636D83">
            <w:pPr>
              <w:keepNext/>
              <w:keepLines/>
              <w:spacing w:after="0" w:line="240" w:lineRule="auto"/>
              <w:jc w:val="right"/>
            </w:pPr>
            <w:r>
              <w:rPr>
                <w:sz w:val="18"/>
              </w:rPr>
              <w:t>9,7</w:t>
            </w:r>
          </w:p>
        </w:tc>
      </w:tr>
    </w:tbl>
    <w:p w14:paraId="6D9B4099" w14:textId="77777777" w:rsidR="00C9284F" w:rsidRDefault="00C9284F">
      <w:pPr>
        <w:spacing w:after="0"/>
      </w:pPr>
    </w:p>
    <w:p w14:paraId="780A0DA3" w14:textId="77777777" w:rsidR="00C9284F" w:rsidRDefault="00636D83">
      <w:r>
        <w:t>Do odstupanja od ostvarenja u izvještajnom razdoblju prethodne godine došlo je zbog domjenka za svečano otvorenje palače Bužan nakon obnove od potresa u 2024. godini.</w:t>
      </w:r>
    </w:p>
    <w:p w14:paraId="34BA2153" w14:textId="77777777" w:rsidR="00C9284F" w:rsidRDefault="00C9284F"/>
    <w:p w14:paraId="639D3169" w14:textId="77777777" w:rsidR="00C9284F" w:rsidRDefault="00636D83">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4A2298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7D7532"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05AFCC"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35D42A"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192BCB"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B1F119"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7B2AB8" w14:textId="77777777" w:rsidR="00C9284F" w:rsidRDefault="00636D83">
            <w:pPr>
              <w:keepNext/>
              <w:keepLines/>
              <w:spacing w:after="0" w:line="240" w:lineRule="auto"/>
              <w:jc w:val="center"/>
            </w:pPr>
            <w:r>
              <w:rPr>
                <w:b/>
                <w:sz w:val="18"/>
              </w:rPr>
              <w:t>Indeks (%)</w:t>
            </w:r>
          </w:p>
        </w:tc>
      </w:tr>
      <w:tr w:rsidR="00C9284F" w14:paraId="12646D43" w14:textId="77777777">
        <w:tblPrEx>
          <w:tblCellMar>
            <w:top w:w="0" w:type="dxa"/>
            <w:bottom w:w="0" w:type="dxa"/>
          </w:tblCellMar>
        </w:tblPrEx>
        <w:trPr>
          <w:cantSplit/>
          <w:trHeight w:val="560"/>
        </w:trPr>
        <w:tc>
          <w:tcPr>
            <w:tcW w:w="700" w:type="dxa"/>
            <w:tcMar>
              <w:top w:w="0" w:type="dxa"/>
              <w:bottom w:w="0" w:type="dxa"/>
            </w:tcMar>
            <w:vAlign w:val="center"/>
          </w:tcPr>
          <w:p w14:paraId="2C33082D" w14:textId="77777777" w:rsidR="00C9284F" w:rsidRDefault="00636D83">
            <w:pPr>
              <w:keepNext/>
              <w:keepLines/>
              <w:spacing w:after="0" w:line="240" w:lineRule="auto"/>
            </w:pPr>
            <w:r>
              <w:rPr>
                <w:sz w:val="18"/>
              </w:rPr>
              <w:t>3295</w:t>
            </w:r>
          </w:p>
        </w:tc>
        <w:tc>
          <w:tcPr>
            <w:tcW w:w="3180" w:type="dxa"/>
            <w:tcMar>
              <w:top w:w="0" w:type="dxa"/>
              <w:bottom w:w="0" w:type="dxa"/>
            </w:tcMar>
            <w:vAlign w:val="center"/>
          </w:tcPr>
          <w:p w14:paraId="3CCD7D31" w14:textId="77777777" w:rsidR="00C9284F" w:rsidRDefault="00636D83">
            <w:pPr>
              <w:keepNext/>
              <w:keepLines/>
              <w:spacing w:after="0" w:line="240" w:lineRule="auto"/>
            </w:pPr>
            <w:r>
              <w:rPr>
                <w:sz w:val="18"/>
              </w:rPr>
              <w:t>Pristojbe i naknade</w:t>
            </w:r>
          </w:p>
        </w:tc>
        <w:tc>
          <w:tcPr>
            <w:tcW w:w="700" w:type="dxa"/>
            <w:tcMar>
              <w:top w:w="0" w:type="dxa"/>
              <w:bottom w:w="0" w:type="dxa"/>
            </w:tcMar>
            <w:vAlign w:val="center"/>
          </w:tcPr>
          <w:p w14:paraId="32488849" w14:textId="77777777" w:rsidR="00C9284F" w:rsidRDefault="00636D83">
            <w:pPr>
              <w:keepNext/>
              <w:keepLines/>
              <w:spacing w:after="0" w:line="240" w:lineRule="auto"/>
            </w:pPr>
            <w:r>
              <w:rPr>
                <w:sz w:val="18"/>
              </w:rPr>
              <w:t>3295</w:t>
            </w:r>
          </w:p>
        </w:tc>
        <w:tc>
          <w:tcPr>
            <w:tcW w:w="1860" w:type="dxa"/>
            <w:tcMar>
              <w:top w:w="0" w:type="dxa"/>
              <w:bottom w:w="0" w:type="dxa"/>
            </w:tcMar>
            <w:vAlign w:val="center"/>
          </w:tcPr>
          <w:p w14:paraId="23A116F0" w14:textId="77777777" w:rsidR="00C9284F" w:rsidRDefault="00636D83">
            <w:pPr>
              <w:keepNext/>
              <w:keepLines/>
              <w:spacing w:after="0" w:line="240" w:lineRule="auto"/>
              <w:jc w:val="right"/>
            </w:pPr>
            <w:r>
              <w:rPr>
                <w:sz w:val="18"/>
              </w:rPr>
              <w:t>7.913,61</w:t>
            </w:r>
          </w:p>
        </w:tc>
        <w:tc>
          <w:tcPr>
            <w:tcW w:w="1860" w:type="dxa"/>
            <w:tcMar>
              <w:top w:w="0" w:type="dxa"/>
              <w:bottom w:w="0" w:type="dxa"/>
            </w:tcMar>
            <w:vAlign w:val="center"/>
          </w:tcPr>
          <w:p w14:paraId="75F9B46D" w14:textId="77777777" w:rsidR="00C9284F" w:rsidRDefault="00636D83">
            <w:pPr>
              <w:keepNext/>
              <w:keepLines/>
              <w:spacing w:after="0" w:line="240" w:lineRule="auto"/>
              <w:jc w:val="right"/>
            </w:pPr>
            <w:r>
              <w:rPr>
                <w:sz w:val="18"/>
              </w:rPr>
              <w:t>10.216,94</w:t>
            </w:r>
          </w:p>
        </w:tc>
        <w:tc>
          <w:tcPr>
            <w:tcW w:w="700" w:type="dxa"/>
            <w:tcMar>
              <w:top w:w="0" w:type="dxa"/>
              <w:bottom w:w="0" w:type="dxa"/>
            </w:tcMar>
            <w:vAlign w:val="center"/>
          </w:tcPr>
          <w:p w14:paraId="078B9F21" w14:textId="77777777" w:rsidR="00C9284F" w:rsidRDefault="00636D83">
            <w:pPr>
              <w:keepNext/>
              <w:keepLines/>
              <w:spacing w:after="0" w:line="240" w:lineRule="auto"/>
              <w:jc w:val="right"/>
            </w:pPr>
            <w:r>
              <w:rPr>
                <w:sz w:val="18"/>
              </w:rPr>
              <w:t>129,1</w:t>
            </w:r>
          </w:p>
        </w:tc>
      </w:tr>
    </w:tbl>
    <w:p w14:paraId="31C066A0" w14:textId="77777777" w:rsidR="00C9284F" w:rsidRDefault="00C9284F">
      <w:pPr>
        <w:spacing w:after="0"/>
      </w:pPr>
    </w:p>
    <w:p w14:paraId="3D2DE64F" w14:textId="77777777" w:rsidR="00C9284F" w:rsidRDefault="00636D83">
      <w:r>
        <w:t>Do odstupanja od ostvarenja u izvještajnom razdoblju prethodne godine došlo je zbog naknada za nezapošljavanje osoba s invaliditetom za razdoblje 2022-2025 godina.</w:t>
      </w:r>
    </w:p>
    <w:p w14:paraId="24E94AE7" w14:textId="77777777" w:rsidR="00C9284F" w:rsidRDefault="00C9284F"/>
    <w:p w14:paraId="24EB5078" w14:textId="77777777" w:rsidR="00C9284F" w:rsidRDefault="00636D83">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2346CD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7AC92F"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84F5C0"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D4B352"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F03246"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C566F9"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0C1323" w14:textId="77777777" w:rsidR="00C9284F" w:rsidRDefault="00636D83">
            <w:pPr>
              <w:keepNext/>
              <w:keepLines/>
              <w:spacing w:after="0" w:line="240" w:lineRule="auto"/>
              <w:jc w:val="center"/>
            </w:pPr>
            <w:r>
              <w:rPr>
                <w:b/>
                <w:sz w:val="18"/>
              </w:rPr>
              <w:t>Indeks (%)</w:t>
            </w:r>
          </w:p>
        </w:tc>
      </w:tr>
      <w:tr w:rsidR="00C9284F" w14:paraId="7B861BF1" w14:textId="77777777">
        <w:tblPrEx>
          <w:tblCellMar>
            <w:top w:w="0" w:type="dxa"/>
            <w:bottom w:w="0" w:type="dxa"/>
          </w:tblCellMar>
        </w:tblPrEx>
        <w:trPr>
          <w:cantSplit/>
          <w:trHeight w:val="560"/>
        </w:trPr>
        <w:tc>
          <w:tcPr>
            <w:tcW w:w="700" w:type="dxa"/>
            <w:tcMar>
              <w:top w:w="0" w:type="dxa"/>
              <w:bottom w:w="0" w:type="dxa"/>
            </w:tcMar>
            <w:vAlign w:val="center"/>
          </w:tcPr>
          <w:p w14:paraId="6E43C9C5" w14:textId="77777777" w:rsidR="00C9284F" w:rsidRDefault="00636D83">
            <w:pPr>
              <w:keepNext/>
              <w:keepLines/>
              <w:spacing w:after="0" w:line="240" w:lineRule="auto"/>
            </w:pPr>
            <w:r>
              <w:rPr>
                <w:sz w:val="18"/>
              </w:rPr>
              <w:t>3299</w:t>
            </w:r>
          </w:p>
        </w:tc>
        <w:tc>
          <w:tcPr>
            <w:tcW w:w="3180" w:type="dxa"/>
            <w:tcMar>
              <w:top w:w="0" w:type="dxa"/>
              <w:bottom w:w="0" w:type="dxa"/>
            </w:tcMar>
            <w:vAlign w:val="center"/>
          </w:tcPr>
          <w:p w14:paraId="39A06CD6" w14:textId="77777777" w:rsidR="00C9284F" w:rsidRDefault="00636D83">
            <w:pPr>
              <w:keepNext/>
              <w:keepLines/>
              <w:spacing w:after="0" w:line="240" w:lineRule="auto"/>
            </w:pPr>
            <w:r>
              <w:rPr>
                <w:sz w:val="18"/>
              </w:rPr>
              <w:t>Ostali nespomenuti rashodi poslovanja</w:t>
            </w:r>
          </w:p>
        </w:tc>
        <w:tc>
          <w:tcPr>
            <w:tcW w:w="700" w:type="dxa"/>
            <w:tcMar>
              <w:top w:w="0" w:type="dxa"/>
              <w:bottom w:w="0" w:type="dxa"/>
            </w:tcMar>
            <w:vAlign w:val="center"/>
          </w:tcPr>
          <w:p w14:paraId="5A7C1CF1" w14:textId="77777777" w:rsidR="00C9284F" w:rsidRDefault="00636D83">
            <w:pPr>
              <w:keepNext/>
              <w:keepLines/>
              <w:spacing w:after="0" w:line="240" w:lineRule="auto"/>
            </w:pPr>
            <w:r>
              <w:rPr>
                <w:sz w:val="18"/>
              </w:rPr>
              <w:t>3299</w:t>
            </w:r>
          </w:p>
        </w:tc>
        <w:tc>
          <w:tcPr>
            <w:tcW w:w="1860" w:type="dxa"/>
            <w:tcMar>
              <w:top w:w="0" w:type="dxa"/>
              <w:bottom w:w="0" w:type="dxa"/>
            </w:tcMar>
            <w:vAlign w:val="center"/>
          </w:tcPr>
          <w:p w14:paraId="666F232A" w14:textId="77777777" w:rsidR="00C9284F" w:rsidRDefault="00636D83">
            <w:pPr>
              <w:keepNext/>
              <w:keepLines/>
              <w:spacing w:after="0" w:line="240" w:lineRule="auto"/>
              <w:jc w:val="right"/>
            </w:pPr>
            <w:r>
              <w:rPr>
                <w:sz w:val="18"/>
              </w:rPr>
              <w:t>290,00</w:t>
            </w:r>
          </w:p>
        </w:tc>
        <w:tc>
          <w:tcPr>
            <w:tcW w:w="1860" w:type="dxa"/>
            <w:tcMar>
              <w:top w:w="0" w:type="dxa"/>
              <w:bottom w:w="0" w:type="dxa"/>
            </w:tcMar>
            <w:vAlign w:val="center"/>
          </w:tcPr>
          <w:p w14:paraId="50A4E563" w14:textId="77777777" w:rsidR="00C9284F" w:rsidRDefault="00636D83">
            <w:pPr>
              <w:keepNext/>
              <w:keepLines/>
              <w:spacing w:after="0" w:line="240" w:lineRule="auto"/>
              <w:jc w:val="right"/>
            </w:pPr>
            <w:r>
              <w:rPr>
                <w:sz w:val="18"/>
              </w:rPr>
              <w:t>0,00</w:t>
            </w:r>
          </w:p>
        </w:tc>
        <w:tc>
          <w:tcPr>
            <w:tcW w:w="700" w:type="dxa"/>
            <w:tcMar>
              <w:top w:w="0" w:type="dxa"/>
              <w:bottom w:w="0" w:type="dxa"/>
            </w:tcMar>
            <w:vAlign w:val="center"/>
          </w:tcPr>
          <w:p w14:paraId="6100ECB7" w14:textId="77777777" w:rsidR="00C9284F" w:rsidRDefault="00636D83">
            <w:pPr>
              <w:keepNext/>
              <w:keepLines/>
              <w:spacing w:after="0" w:line="240" w:lineRule="auto"/>
              <w:jc w:val="right"/>
            </w:pPr>
            <w:r>
              <w:rPr>
                <w:sz w:val="18"/>
              </w:rPr>
              <w:t>0</w:t>
            </w:r>
          </w:p>
        </w:tc>
      </w:tr>
    </w:tbl>
    <w:p w14:paraId="62EAE93B" w14:textId="77777777" w:rsidR="00C9284F" w:rsidRDefault="00C9284F">
      <w:pPr>
        <w:spacing w:after="0"/>
      </w:pPr>
    </w:p>
    <w:p w14:paraId="69025FDC" w14:textId="77777777" w:rsidR="00C9284F" w:rsidRDefault="00636D83">
      <w:r>
        <w:t>U istom izvještajnom razdoblju prethodne godine došlo je zbog nabave vijenca za djelatnika Ureda te aranžmana za svečano otvorenje Opatičke 8 nakon obnove od posljedica potresa.</w:t>
      </w:r>
    </w:p>
    <w:p w14:paraId="1B247C8D" w14:textId="77777777" w:rsidR="00C9284F" w:rsidRDefault="00C9284F"/>
    <w:p w14:paraId="61CAE9D7" w14:textId="77777777" w:rsidR="00C9284F" w:rsidRDefault="00636D83">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44E441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79B4EC"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1E9715"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96AFD5"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E468D9" w14:textId="77777777" w:rsidR="00C9284F" w:rsidRDefault="00636D83">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14:paraId="1097514F"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16FC93" w14:textId="77777777" w:rsidR="00C9284F" w:rsidRDefault="00636D83">
            <w:pPr>
              <w:keepNext/>
              <w:keepLines/>
              <w:spacing w:after="0" w:line="240" w:lineRule="auto"/>
              <w:jc w:val="center"/>
            </w:pPr>
            <w:r>
              <w:rPr>
                <w:b/>
                <w:sz w:val="18"/>
              </w:rPr>
              <w:t>Indeks (%)</w:t>
            </w:r>
          </w:p>
        </w:tc>
      </w:tr>
      <w:tr w:rsidR="00C9284F" w14:paraId="6F40CD9A" w14:textId="77777777">
        <w:tblPrEx>
          <w:tblCellMar>
            <w:top w:w="0" w:type="dxa"/>
            <w:bottom w:w="0" w:type="dxa"/>
          </w:tblCellMar>
        </w:tblPrEx>
        <w:trPr>
          <w:cantSplit/>
          <w:trHeight w:val="560"/>
        </w:trPr>
        <w:tc>
          <w:tcPr>
            <w:tcW w:w="700" w:type="dxa"/>
            <w:tcMar>
              <w:top w:w="0" w:type="dxa"/>
              <w:bottom w:w="0" w:type="dxa"/>
            </w:tcMar>
            <w:vAlign w:val="center"/>
          </w:tcPr>
          <w:p w14:paraId="03B9A056" w14:textId="77777777" w:rsidR="00C9284F" w:rsidRDefault="00636D83">
            <w:pPr>
              <w:keepNext/>
              <w:keepLines/>
              <w:spacing w:after="0" w:line="240" w:lineRule="auto"/>
            </w:pPr>
            <w:r>
              <w:rPr>
                <w:sz w:val="18"/>
              </w:rPr>
              <w:t>3423</w:t>
            </w:r>
          </w:p>
        </w:tc>
        <w:tc>
          <w:tcPr>
            <w:tcW w:w="3180" w:type="dxa"/>
            <w:tcMar>
              <w:top w:w="0" w:type="dxa"/>
              <w:bottom w:w="0" w:type="dxa"/>
            </w:tcMar>
            <w:vAlign w:val="center"/>
          </w:tcPr>
          <w:p w14:paraId="0348C615" w14:textId="77777777" w:rsidR="00C9284F" w:rsidRDefault="00636D83">
            <w:pPr>
              <w:keepNext/>
              <w:keepLines/>
              <w:spacing w:after="0" w:line="240" w:lineRule="auto"/>
            </w:pPr>
            <w:r>
              <w:rPr>
                <w:sz w:val="18"/>
              </w:rPr>
              <w:t>Kamate za primljene kredite i zajmove od kreditnih i ostalih financijskih institucija izvan javnog sektora</w:t>
            </w:r>
          </w:p>
        </w:tc>
        <w:tc>
          <w:tcPr>
            <w:tcW w:w="700" w:type="dxa"/>
            <w:tcMar>
              <w:top w:w="0" w:type="dxa"/>
              <w:bottom w:w="0" w:type="dxa"/>
            </w:tcMar>
            <w:vAlign w:val="center"/>
          </w:tcPr>
          <w:p w14:paraId="19E3C802" w14:textId="77777777" w:rsidR="00C9284F" w:rsidRDefault="00636D83">
            <w:pPr>
              <w:keepNext/>
              <w:keepLines/>
              <w:spacing w:after="0" w:line="240" w:lineRule="auto"/>
            </w:pPr>
            <w:r>
              <w:rPr>
                <w:sz w:val="18"/>
              </w:rPr>
              <w:t>3423</w:t>
            </w:r>
          </w:p>
        </w:tc>
        <w:tc>
          <w:tcPr>
            <w:tcW w:w="1860" w:type="dxa"/>
            <w:tcMar>
              <w:top w:w="0" w:type="dxa"/>
              <w:bottom w:w="0" w:type="dxa"/>
            </w:tcMar>
            <w:vAlign w:val="center"/>
          </w:tcPr>
          <w:p w14:paraId="527CA6EE" w14:textId="77777777" w:rsidR="00C9284F" w:rsidRDefault="00636D83">
            <w:pPr>
              <w:keepNext/>
              <w:keepLines/>
              <w:spacing w:after="0" w:line="240" w:lineRule="auto"/>
              <w:jc w:val="right"/>
            </w:pPr>
            <w:r>
              <w:rPr>
                <w:sz w:val="18"/>
              </w:rPr>
              <w:t>631,15</w:t>
            </w:r>
          </w:p>
        </w:tc>
        <w:tc>
          <w:tcPr>
            <w:tcW w:w="1860" w:type="dxa"/>
            <w:tcMar>
              <w:top w:w="0" w:type="dxa"/>
              <w:bottom w:w="0" w:type="dxa"/>
            </w:tcMar>
            <w:vAlign w:val="center"/>
          </w:tcPr>
          <w:p w14:paraId="131CDDC4" w14:textId="77777777" w:rsidR="00C9284F" w:rsidRDefault="00636D83">
            <w:pPr>
              <w:keepNext/>
              <w:keepLines/>
              <w:spacing w:after="0" w:line="240" w:lineRule="auto"/>
              <w:jc w:val="right"/>
            </w:pPr>
            <w:r>
              <w:rPr>
                <w:sz w:val="18"/>
              </w:rPr>
              <w:t>29.278,17</w:t>
            </w:r>
          </w:p>
        </w:tc>
        <w:tc>
          <w:tcPr>
            <w:tcW w:w="700" w:type="dxa"/>
            <w:tcMar>
              <w:top w:w="0" w:type="dxa"/>
              <w:bottom w:w="0" w:type="dxa"/>
            </w:tcMar>
            <w:vAlign w:val="center"/>
          </w:tcPr>
          <w:p w14:paraId="557471DB" w14:textId="77777777" w:rsidR="00C9284F" w:rsidRDefault="00636D83">
            <w:pPr>
              <w:keepNext/>
              <w:keepLines/>
              <w:spacing w:after="0" w:line="240" w:lineRule="auto"/>
              <w:jc w:val="right"/>
            </w:pPr>
            <w:r>
              <w:rPr>
                <w:sz w:val="18"/>
              </w:rPr>
              <w:t>4638,9</w:t>
            </w:r>
          </w:p>
        </w:tc>
      </w:tr>
    </w:tbl>
    <w:p w14:paraId="241C6E21" w14:textId="77777777" w:rsidR="00C9284F" w:rsidRDefault="00C9284F">
      <w:pPr>
        <w:spacing w:after="0"/>
      </w:pPr>
    </w:p>
    <w:p w14:paraId="71B9B217" w14:textId="77777777" w:rsidR="00C9284F" w:rsidRDefault="00636D83">
      <w:r>
        <w:t>Do odstupanja od ostvarenja u izvještajnom razdoblju prethodne godine došlo je zbog novog financijskog leasinga za 9 službenih automobila.</w:t>
      </w:r>
    </w:p>
    <w:p w14:paraId="7BF20ED8" w14:textId="77777777" w:rsidR="00C9284F" w:rsidRDefault="00C9284F"/>
    <w:p w14:paraId="1030634A" w14:textId="77777777" w:rsidR="00C9284F" w:rsidRDefault="00636D83">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78CADD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5DDA3D"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8A0D28"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279DCF"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DDE5B7"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C27D50"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4E4C1E" w14:textId="77777777" w:rsidR="00C9284F" w:rsidRDefault="00636D83">
            <w:pPr>
              <w:keepNext/>
              <w:keepLines/>
              <w:spacing w:after="0" w:line="240" w:lineRule="auto"/>
              <w:jc w:val="center"/>
            </w:pPr>
            <w:r>
              <w:rPr>
                <w:b/>
                <w:sz w:val="18"/>
              </w:rPr>
              <w:t>Indeks (%)</w:t>
            </w:r>
          </w:p>
        </w:tc>
      </w:tr>
      <w:tr w:rsidR="00C9284F" w14:paraId="22A12DC0" w14:textId="77777777">
        <w:tblPrEx>
          <w:tblCellMar>
            <w:top w:w="0" w:type="dxa"/>
            <w:bottom w:w="0" w:type="dxa"/>
          </w:tblCellMar>
        </w:tblPrEx>
        <w:trPr>
          <w:cantSplit/>
          <w:trHeight w:val="560"/>
        </w:trPr>
        <w:tc>
          <w:tcPr>
            <w:tcW w:w="700" w:type="dxa"/>
            <w:tcMar>
              <w:top w:w="0" w:type="dxa"/>
              <w:bottom w:w="0" w:type="dxa"/>
            </w:tcMar>
            <w:vAlign w:val="center"/>
          </w:tcPr>
          <w:p w14:paraId="19A0B06D" w14:textId="77777777" w:rsidR="00C9284F" w:rsidRDefault="00636D83">
            <w:pPr>
              <w:keepNext/>
              <w:keepLines/>
              <w:spacing w:after="0" w:line="240" w:lineRule="auto"/>
            </w:pPr>
            <w:r>
              <w:rPr>
                <w:sz w:val="18"/>
              </w:rPr>
              <w:t>3433</w:t>
            </w:r>
          </w:p>
        </w:tc>
        <w:tc>
          <w:tcPr>
            <w:tcW w:w="3180" w:type="dxa"/>
            <w:tcMar>
              <w:top w:w="0" w:type="dxa"/>
              <w:bottom w:w="0" w:type="dxa"/>
            </w:tcMar>
            <w:vAlign w:val="center"/>
          </w:tcPr>
          <w:p w14:paraId="449D042A" w14:textId="77777777" w:rsidR="00C9284F" w:rsidRDefault="00636D83">
            <w:pPr>
              <w:keepNext/>
              <w:keepLines/>
              <w:spacing w:after="0" w:line="240" w:lineRule="auto"/>
            </w:pPr>
            <w:r>
              <w:rPr>
                <w:sz w:val="18"/>
              </w:rPr>
              <w:t>Zatezne kamate</w:t>
            </w:r>
          </w:p>
        </w:tc>
        <w:tc>
          <w:tcPr>
            <w:tcW w:w="700" w:type="dxa"/>
            <w:tcMar>
              <w:top w:w="0" w:type="dxa"/>
              <w:bottom w:w="0" w:type="dxa"/>
            </w:tcMar>
            <w:vAlign w:val="center"/>
          </w:tcPr>
          <w:p w14:paraId="56B58C6F" w14:textId="77777777" w:rsidR="00C9284F" w:rsidRDefault="00636D83">
            <w:pPr>
              <w:keepNext/>
              <w:keepLines/>
              <w:spacing w:after="0" w:line="240" w:lineRule="auto"/>
            </w:pPr>
            <w:r>
              <w:rPr>
                <w:sz w:val="18"/>
              </w:rPr>
              <w:t>3433</w:t>
            </w:r>
          </w:p>
        </w:tc>
        <w:tc>
          <w:tcPr>
            <w:tcW w:w="1860" w:type="dxa"/>
            <w:tcMar>
              <w:top w:w="0" w:type="dxa"/>
              <w:bottom w:w="0" w:type="dxa"/>
            </w:tcMar>
            <w:vAlign w:val="center"/>
          </w:tcPr>
          <w:p w14:paraId="0DD95B9D" w14:textId="77777777" w:rsidR="00C9284F" w:rsidRDefault="00636D83">
            <w:pPr>
              <w:keepNext/>
              <w:keepLines/>
              <w:spacing w:after="0" w:line="240" w:lineRule="auto"/>
              <w:jc w:val="right"/>
            </w:pPr>
            <w:r>
              <w:rPr>
                <w:sz w:val="18"/>
              </w:rPr>
              <w:t>27,35</w:t>
            </w:r>
          </w:p>
        </w:tc>
        <w:tc>
          <w:tcPr>
            <w:tcW w:w="1860" w:type="dxa"/>
            <w:tcMar>
              <w:top w:w="0" w:type="dxa"/>
              <w:bottom w:w="0" w:type="dxa"/>
            </w:tcMar>
            <w:vAlign w:val="center"/>
          </w:tcPr>
          <w:p w14:paraId="669C4EFB" w14:textId="77777777" w:rsidR="00C9284F" w:rsidRDefault="00636D83">
            <w:pPr>
              <w:keepNext/>
              <w:keepLines/>
              <w:spacing w:after="0" w:line="240" w:lineRule="auto"/>
              <w:jc w:val="right"/>
            </w:pPr>
            <w:r>
              <w:rPr>
                <w:sz w:val="18"/>
              </w:rPr>
              <w:t>57,60</w:t>
            </w:r>
          </w:p>
        </w:tc>
        <w:tc>
          <w:tcPr>
            <w:tcW w:w="700" w:type="dxa"/>
            <w:tcMar>
              <w:top w:w="0" w:type="dxa"/>
              <w:bottom w:w="0" w:type="dxa"/>
            </w:tcMar>
            <w:vAlign w:val="center"/>
          </w:tcPr>
          <w:p w14:paraId="158ECED3" w14:textId="77777777" w:rsidR="00C9284F" w:rsidRDefault="00636D83">
            <w:pPr>
              <w:keepNext/>
              <w:keepLines/>
              <w:spacing w:after="0" w:line="240" w:lineRule="auto"/>
              <w:jc w:val="right"/>
            </w:pPr>
            <w:r>
              <w:rPr>
                <w:sz w:val="18"/>
              </w:rPr>
              <w:t>210,6</w:t>
            </w:r>
          </w:p>
        </w:tc>
      </w:tr>
    </w:tbl>
    <w:p w14:paraId="1C64E1F7" w14:textId="77777777" w:rsidR="00C9284F" w:rsidRDefault="00C9284F">
      <w:pPr>
        <w:spacing w:after="0"/>
      </w:pPr>
    </w:p>
    <w:p w14:paraId="653D7195" w14:textId="77777777" w:rsidR="00C9284F" w:rsidRDefault="00636D83">
      <w:r>
        <w:t>Do odstupanja od ostvarenja u izvještajnom razdoblju prethodne godine došlo je zbog plaćanja zateznih kamata uslijed nepravovremenog plaćanja računa za nabavu namirnica.</w:t>
      </w:r>
    </w:p>
    <w:p w14:paraId="013B4B75" w14:textId="77777777" w:rsidR="00C9284F" w:rsidRDefault="00C9284F"/>
    <w:p w14:paraId="5ACA7150" w14:textId="77777777" w:rsidR="00C9284F" w:rsidRDefault="00636D83">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6B3792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69F18B"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641A85"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5A1C8F"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06754A"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CE5B77"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97DE49" w14:textId="77777777" w:rsidR="00C9284F" w:rsidRDefault="00636D83">
            <w:pPr>
              <w:keepNext/>
              <w:keepLines/>
              <w:spacing w:after="0" w:line="240" w:lineRule="auto"/>
              <w:jc w:val="center"/>
            </w:pPr>
            <w:r>
              <w:rPr>
                <w:b/>
                <w:sz w:val="18"/>
              </w:rPr>
              <w:t>Indeks (%)</w:t>
            </w:r>
          </w:p>
        </w:tc>
      </w:tr>
      <w:tr w:rsidR="00C9284F" w14:paraId="753427BB" w14:textId="77777777">
        <w:tblPrEx>
          <w:tblCellMar>
            <w:top w:w="0" w:type="dxa"/>
            <w:bottom w:w="0" w:type="dxa"/>
          </w:tblCellMar>
        </w:tblPrEx>
        <w:trPr>
          <w:cantSplit/>
          <w:trHeight w:val="560"/>
        </w:trPr>
        <w:tc>
          <w:tcPr>
            <w:tcW w:w="700" w:type="dxa"/>
            <w:tcMar>
              <w:top w:w="0" w:type="dxa"/>
              <w:bottom w:w="0" w:type="dxa"/>
            </w:tcMar>
            <w:vAlign w:val="center"/>
          </w:tcPr>
          <w:p w14:paraId="4E02CFDD" w14:textId="77777777" w:rsidR="00C9284F" w:rsidRDefault="00636D83">
            <w:pPr>
              <w:keepNext/>
              <w:keepLines/>
              <w:spacing w:after="0" w:line="240" w:lineRule="auto"/>
            </w:pPr>
            <w:r>
              <w:rPr>
                <w:sz w:val="18"/>
              </w:rPr>
              <w:t>3721</w:t>
            </w:r>
          </w:p>
        </w:tc>
        <w:tc>
          <w:tcPr>
            <w:tcW w:w="3180" w:type="dxa"/>
            <w:tcMar>
              <w:top w:w="0" w:type="dxa"/>
              <w:bottom w:w="0" w:type="dxa"/>
            </w:tcMar>
            <w:vAlign w:val="center"/>
          </w:tcPr>
          <w:p w14:paraId="5CED2308" w14:textId="77777777" w:rsidR="00C9284F" w:rsidRDefault="00636D83">
            <w:pPr>
              <w:keepNext/>
              <w:keepLines/>
              <w:spacing w:after="0" w:line="240" w:lineRule="auto"/>
            </w:pPr>
            <w:r>
              <w:rPr>
                <w:sz w:val="18"/>
              </w:rPr>
              <w:t>Naknade građanima i kućanstvima u novcu</w:t>
            </w:r>
          </w:p>
        </w:tc>
        <w:tc>
          <w:tcPr>
            <w:tcW w:w="700" w:type="dxa"/>
            <w:tcMar>
              <w:top w:w="0" w:type="dxa"/>
              <w:bottom w:w="0" w:type="dxa"/>
            </w:tcMar>
            <w:vAlign w:val="center"/>
          </w:tcPr>
          <w:p w14:paraId="1065CA44" w14:textId="77777777" w:rsidR="00C9284F" w:rsidRDefault="00636D83">
            <w:pPr>
              <w:keepNext/>
              <w:keepLines/>
              <w:spacing w:after="0" w:line="240" w:lineRule="auto"/>
            </w:pPr>
            <w:r>
              <w:rPr>
                <w:sz w:val="18"/>
              </w:rPr>
              <w:t>3721</w:t>
            </w:r>
          </w:p>
        </w:tc>
        <w:tc>
          <w:tcPr>
            <w:tcW w:w="1860" w:type="dxa"/>
            <w:tcMar>
              <w:top w:w="0" w:type="dxa"/>
              <w:bottom w:w="0" w:type="dxa"/>
            </w:tcMar>
            <w:vAlign w:val="center"/>
          </w:tcPr>
          <w:p w14:paraId="2C0D5CCF" w14:textId="77777777" w:rsidR="00C9284F" w:rsidRDefault="00636D83">
            <w:pPr>
              <w:keepNext/>
              <w:keepLines/>
              <w:spacing w:after="0" w:line="240" w:lineRule="auto"/>
              <w:jc w:val="right"/>
            </w:pPr>
            <w:r>
              <w:rPr>
                <w:sz w:val="18"/>
              </w:rPr>
              <w:t>15.025,42</w:t>
            </w:r>
          </w:p>
        </w:tc>
        <w:tc>
          <w:tcPr>
            <w:tcW w:w="1860" w:type="dxa"/>
            <w:tcMar>
              <w:top w:w="0" w:type="dxa"/>
              <w:bottom w:w="0" w:type="dxa"/>
            </w:tcMar>
            <w:vAlign w:val="center"/>
          </w:tcPr>
          <w:p w14:paraId="17AE3D54" w14:textId="77777777" w:rsidR="00C9284F" w:rsidRDefault="00636D83">
            <w:pPr>
              <w:keepNext/>
              <w:keepLines/>
              <w:spacing w:after="0" w:line="240" w:lineRule="auto"/>
              <w:jc w:val="right"/>
            </w:pPr>
            <w:r>
              <w:rPr>
                <w:sz w:val="18"/>
              </w:rPr>
              <w:t>12.255,00</w:t>
            </w:r>
          </w:p>
        </w:tc>
        <w:tc>
          <w:tcPr>
            <w:tcW w:w="700" w:type="dxa"/>
            <w:tcMar>
              <w:top w:w="0" w:type="dxa"/>
              <w:bottom w:w="0" w:type="dxa"/>
            </w:tcMar>
            <w:vAlign w:val="center"/>
          </w:tcPr>
          <w:p w14:paraId="127387F9" w14:textId="77777777" w:rsidR="00C9284F" w:rsidRDefault="00636D83">
            <w:pPr>
              <w:keepNext/>
              <w:keepLines/>
              <w:spacing w:after="0" w:line="240" w:lineRule="auto"/>
              <w:jc w:val="right"/>
            </w:pPr>
            <w:r>
              <w:rPr>
                <w:sz w:val="18"/>
              </w:rPr>
              <w:t>81,6</w:t>
            </w:r>
          </w:p>
        </w:tc>
      </w:tr>
    </w:tbl>
    <w:p w14:paraId="6CE52DB0" w14:textId="77777777" w:rsidR="00C9284F" w:rsidRDefault="00C9284F">
      <w:pPr>
        <w:spacing w:after="0"/>
      </w:pPr>
    </w:p>
    <w:p w14:paraId="2F16A369" w14:textId="77777777" w:rsidR="00C9284F" w:rsidRDefault="00636D83">
      <w:r>
        <w:t>Do odstupanja od ostvarenja u izvještajnom razdoblju prethodne godine došlo je zbog smanjenja broja djelatnika kojima Ured podmiruje dodatno školovanje.</w:t>
      </w:r>
    </w:p>
    <w:p w14:paraId="1287D155" w14:textId="77777777" w:rsidR="00C9284F" w:rsidRDefault="00C9284F"/>
    <w:p w14:paraId="7F7669B7" w14:textId="77777777" w:rsidR="00C9284F" w:rsidRDefault="00636D83">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461679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C28863"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F7485B"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9FB7C8"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5A3CA2" w14:textId="77777777" w:rsidR="00C9284F" w:rsidRDefault="00636D83">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14:paraId="74D50FE7"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D01731" w14:textId="77777777" w:rsidR="00C9284F" w:rsidRDefault="00636D83">
            <w:pPr>
              <w:keepNext/>
              <w:keepLines/>
              <w:spacing w:after="0" w:line="240" w:lineRule="auto"/>
              <w:jc w:val="center"/>
            </w:pPr>
            <w:r>
              <w:rPr>
                <w:b/>
                <w:sz w:val="18"/>
              </w:rPr>
              <w:t>Indeks (%)</w:t>
            </w:r>
          </w:p>
        </w:tc>
      </w:tr>
      <w:tr w:rsidR="00C9284F" w14:paraId="1583668C" w14:textId="77777777">
        <w:tblPrEx>
          <w:tblCellMar>
            <w:top w:w="0" w:type="dxa"/>
            <w:bottom w:w="0" w:type="dxa"/>
          </w:tblCellMar>
        </w:tblPrEx>
        <w:trPr>
          <w:cantSplit/>
          <w:trHeight w:val="560"/>
        </w:trPr>
        <w:tc>
          <w:tcPr>
            <w:tcW w:w="700" w:type="dxa"/>
            <w:tcMar>
              <w:top w:w="0" w:type="dxa"/>
              <w:bottom w:w="0" w:type="dxa"/>
            </w:tcMar>
            <w:vAlign w:val="center"/>
          </w:tcPr>
          <w:p w14:paraId="673E625B" w14:textId="77777777" w:rsidR="00C9284F" w:rsidRDefault="00636D83">
            <w:pPr>
              <w:keepNext/>
              <w:keepLines/>
              <w:spacing w:after="0" w:line="240" w:lineRule="auto"/>
            </w:pPr>
            <w:r>
              <w:rPr>
                <w:sz w:val="18"/>
              </w:rPr>
              <w:t>3835</w:t>
            </w:r>
          </w:p>
        </w:tc>
        <w:tc>
          <w:tcPr>
            <w:tcW w:w="3180" w:type="dxa"/>
            <w:tcMar>
              <w:top w:w="0" w:type="dxa"/>
              <w:bottom w:w="0" w:type="dxa"/>
            </w:tcMar>
            <w:vAlign w:val="center"/>
          </w:tcPr>
          <w:p w14:paraId="5F5029A1" w14:textId="77777777" w:rsidR="00C9284F" w:rsidRDefault="00636D83">
            <w:pPr>
              <w:keepNext/>
              <w:keepLines/>
              <w:spacing w:after="0" w:line="240" w:lineRule="auto"/>
            </w:pPr>
            <w:r>
              <w:rPr>
                <w:sz w:val="18"/>
              </w:rPr>
              <w:t>Ostale kazne</w:t>
            </w:r>
          </w:p>
        </w:tc>
        <w:tc>
          <w:tcPr>
            <w:tcW w:w="700" w:type="dxa"/>
            <w:tcMar>
              <w:top w:w="0" w:type="dxa"/>
              <w:bottom w:w="0" w:type="dxa"/>
            </w:tcMar>
            <w:vAlign w:val="center"/>
          </w:tcPr>
          <w:p w14:paraId="2159E6E6" w14:textId="77777777" w:rsidR="00C9284F" w:rsidRDefault="00636D83">
            <w:pPr>
              <w:keepNext/>
              <w:keepLines/>
              <w:spacing w:after="0" w:line="240" w:lineRule="auto"/>
            </w:pPr>
            <w:r>
              <w:rPr>
                <w:sz w:val="18"/>
              </w:rPr>
              <w:t>3835</w:t>
            </w:r>
          </w:p>
        </w:tc>
        <w:tc>
          <w:tcPr>
            <w:tcW w:w="1860" w:type="dxa"/>
            <w:tcMar>
              <w:top w:w="0" w:type="dxa"/>
              <w:bottom w:w="0" w:type="dxa"/>
            </w:tcMar>
            <w:vAlign w:val="center"/>
          </w:tcPr>
          <w:p w14:paraId="10FBBE21" w14:textId="77777777" w:rsidR="00C9284F" w:rsidRDefault="00636D83">
            <w:pPr>
              <w:keepNext/>
              <w:keepLines/>
              <w:spacing w:after="0" w:line="240" w:lineRule="auto"/>
              <w:jc w:val="right"/>
            </w:pPr>
            <w:r>
              <w:rPr>
                <w:sz w:val="18"/>
              </w:rPr>
              <w:t>15,00</w:t>
            </w:r>
          </w:p>
        </w:tc>
        <w:tc>
          <w:tcPr>
            <w:tcW w:w="1860" w:type="dxa"/>
            <w:tcMar>
              <w:top w:w="0" w:type="dxa"/>
              <w:bottom w:w="0" w:type="dxa"/>
            </w:tcMar>
            <w:vAlign w:val="center"/>
          </w:tcPr>
          <w:p w14:paraId="24B9B0C9" w14:textId="77777777" w:rsidR="00C9284F" w:rsidRDefault="00636D83">
            <w:pPr>
              <w:keepNext/>
              <w:keepLines/>
              <w:spacing w:after="0" w:line="240" w:lineRule="auto"/>
              <w:jc w:val="right"/>
            </w:pPr>
            <w:r>
              <w:rPr>
                <w:sz w:val="18"/>
              </w:rPr>
              <w:t>290,00</w:t>
            </w:r>
          </w:p>
        </w:tc>
        <w:tc>
          <w:tcPr>
            <w:tcW w:w="700" w:type="dxa"/>
            <w:tcMar>
              <w:top w:w="0" w:type="dxa"/>
              <w:bottom w:w="0" w:type="dxa"/>
            </w:tcMar>
            <w:vAlign w:val="center"/>
          </w:tcPr>
          <w:p w14:paraId="02BFDCB9" w14:textId="77777777" w:rsidR="00C9284F" w:rsidRDefault="00636D83">
            <w:pPr>
              <w:keepNext/>
              <w:keepLines/>
              <w:spacing w:after="0" w:line="240" w:lineRule="auto"/>
              <w:jc w:val="right"/>
            </w:pPr>
            <w:r>
              <w:rPr>
                <w:sz w:val="18"/>
              </w:rPr>
              <w:t>1933,3</w:t>
            </w:r>
          </w:p>
        </w:tc>
      </w:tr>
    </w:tbl>
    <w:p w14:paraId="6D01CB52" w14:textId="77777777" w:rsidR="00C9284F" w:rsidRDefault="00C9284F">
      <w:pPr>
        <w:spacing w:after="0"/>
      </w:pPr>
    </w:p>
    <w:p w14:paraId="78E1FE0C" w14:textId="77777777" w:rsidR="00C9284F" w:rsidRDefault="00636D83">
      <w:r>
        <w:t>Do odstupanja od ostvarenja u izvještajnom razdoblju prethodne godine došlo je zbog ugovorne kazne za kategoriju korisnika koji nije kućanstvo sukladno Odluci Zagrebačkog holdinga o ugovornoj kazni od 05. veljače 2025. godine (KLASA: 351-01/22-01/05, URBROJ: 02/328-25-02).</w:t>
      </w:r>
    </w:p>
    <w:p w14:paraId="10DC1CE8" w14:textId="77777777" w:rsidR="00C9284F" w:rsidRDefault="00C9284F"/>
    <w:p w14:paraId="674D9E36" w14:textId="77777777" w:rsidR="00C9284F" w:rsidRDefault="00636D83">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094F7E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BB64B8"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13BE49"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77CF63"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5BCCC6"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CBB088"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401AC2" w14:textId="77777777" w:rsidR="00C9284F" w:rsidRDefault="00636D83">
            <w:pPr>
              <w:keepNext/>
              <w:keepLines/>
              <w:spacing w:after="0" w:line="240" w:lineRule="auto"/>
              <w:jc w:val="center"/>
            </w:pPr>
            <w:r>
              <w:rPr>
                <w:b/>
                <w:sz w:val="18"/>
              </w:rPr>
              <w:t>Indeks (%)</w:t>
            </w:r>
          </w:p>
        </w:tc>
      </w:tr>
      <w:tr w:rsidR="00C9284F" w14:paraId="3A1E23D5" w14:textId="77777777">
        <w:tblPrEx>
          <w:tblCellMar>
            <w:top w:w="0" w:type="dxa"/>
            <w:bottom w:w="0" w:type="dxa"/>
          </w:tblCellMar>
        </w:tblPrEx>
        <w:trPr>
          <w:cantSplit/>
          <w:trHeight w:val="560"/>
        </w:trPr>
        <w:tc>
          <w:tcPr>
            <w:tcW w:w="700" w:type="dxa"/>
            <w:tcMar>
              <w:top w:w="0" w:type="dxa"/>
              <w:bottom w:w="0" w:type="dxa"/>
            </w:tcMar>
            <w:vAlign w:val="center"/>
          </w:tcPr>
          <w:p w14:paraId="49A2048B" w14:textId="77777777" w:rsidR="00C9284F" w:rsidRDefault="00636D83">
            <w:pPr>
              <w:keepNext/>
              <w:keepLines/>
              <w:spacing w:after="0" w:line="240" w:lineRule="auto"/>
            </w:pPr>
            <w:r>
              <w:rPr>
                <w:sz w:val="18"/>
              </w:rPr>
              <w:t>4221</w:t>
            </w:r>
          </w:p>
        </w:tc>
        <w:tc>
          <w:tcPr>
            <w:tcW w:w="3180" w:type="dxa"/>
            <w:tcMar>
              <w:top w:w="0" w:type="dxa"/>
              <w:bottom w:w="0" w:type="dxa"/>
            </w:tcMar>
            <w:vAlign w:val="center"/>
          </w:tcPr>
          <w:p w14:paraId="67951EF6" w14:textId="77777777" w:rsidR="00C9284F" w:rsidRDefault="00636D83">
            <w:pPr>
              <w:keepNext/>
              <w:keepLines/>
              <w:spacing w:after="0" w:line="240" w:lineRule="auto"/>
            </w:pPr>
            <w:r>
              <w:rPr>
                <w:sz w:val="18"/>
              </w:rPr>
              <w:t>Uredska oprema i namještaj</w:t>
            </w:r>
          </w:p>
        </w:tc>
        <w:tc>
          <w:tcPr>
            <w:tcW w:w="700" w:type="dxa"/>
            <w:tcMar>
              <w:top w:w="0" w:type="dxa"/>
              <w:bottom w:w="0" w:type="dxa"/>
            </w:tcMar>
            <w:vAlign w:val="center"/>
          </w:tcPr>
          <w:p w14:paraId="5ED1B4BB" w14:textId="77777777" w:rsidR="00C9284F" w:rsidRDefault="00636D83">
            <w:pPr>
              <w:keepNext/>
              <w:keepLines/>
              <w:spacing w:after="0" w:line="240" w:lineRule="auto"/>
            </w:pPr>
            <w:r>
              <w:rPr>
                <w:sz w:val="18"/>
              </w:rPr>
              <w:t>4221</w:t>
            </w:r>
          </w:p>
        </w:tc>
        <w:tc>
          <w:tcPr>
            <w:tcW w:w="1860" w:type="dxa"/>
            <w:tcMar>
              <w:top w:w="0" w:type="dxa"/>
              <w:bottom w:w="0" w:type="dxa"/>
            </w:tcMar>
            <w:vAlign w:val="center"/>
          </w:tcPr>
          <w:p w14:paraId="2E0F6352" w14:textId="77777777" w:rsidR="00C9284F" w:rsidRDefault="00636D83">
            <w:pPr>
              <w:keepNext/>
              <w:keepLines/>
              <w:spacing w:after="0" w:line="240" w:lineRule="auto"/>
              <w:jc w:val="right"/>
            </w:pPr>
            <w:r>
              <w:rPr>
                <w:sz w:val="18"/>
              </w:rPr>
              <w:t>148.763,95</w:t>
            </w:r>
          </w:p>
        </w:tc>
        <w:tc>
          <w:tcPr>
            <w:tcW w:w="1860" w:type="dxa"/>
            <w:tcMar>
              <w:top w:w="0" w:type="dxa"/>
              <w:bottom w:w="0" w:type="dxa"/>
            </w:tcMar>
            <w:vAlign w:val="center"/>
          </w:tcPr>
          <w:p w14:paraId="1F61FE28" w14:textId="77777777" w:rsidR="00C9284F" w:rsidRDefault="00636D83">
            <w:pPr>
              <w:keepNext/>
              <w:keepLines/>
              <w:spacing w:after="0" w:line="240" w:lineRule="auto"/>
              <w:jc w:val="right"/>
            </w:pPr>
            <w:r>
              <w:rPr>
                <w:sz w:val="18"/>
              </w:rPr>
              <w:t>57.741,37</w:t>
            </w:r>
          </w:p>
        </w:tc>
        <w:tc>
          <w:tcPr>
            <w:tcW w:w="700" w:type="dxa"/>
            <w:tcMar>
              <w:top w:w="0" w:type="dxa"/>
              <w:bottom w:w="0" w:type="dxa"/>
            </w:tcMar>
            <w:vAlign w:val="center"/>
          </w:tcPr>
          <w:p w14:paraId="0D60154F" w14:textId="77777777" w:rsidR="00C9284F" w:rsidRDefault="00636D83">
            <w:pPr>
              <w:keepNext/>
              <w:keepLines/>
              <w:spacing w:after="0" w:line="240" w:lineRule="auto"/>
              <w:jc w:val="right"/>
            </w:pPr>
            <w:r>
              <w:rPr>
                <w:sz w:val="18"/>
              </w:rPr>
              <w:t>38,8</w:t>
            </w:r>
          </w:p>
        </w:tc>
      </w:tr>
    </w:tbl>
    <w:p w14:paraId="31517BB2" w14:textId="77777777" w:rsidR="00C9284F" w:rsidRDefault="00C9284F">
      <w:pPr>
        <w:spacing w:after="0"/>
      </w:pPr>
    </w:p>
    <w:p w14:paraId="1E0322EC" w14:textId="77777777" w:rsidR="00C9284F" w:rsidRDefault="00636D83">
      <w:r>
        <w:t>Do odstupanja od ostvarenja u izvještajnom razdoblju prethodne godine došlo je zbog nabave namještaja za Ured za potrebe povratka na matičnu lokaciju nakon završetka obnove od posljedica potresa te dodatne opreme za potrebe djelatnika Ureda uslijed preseljenja Hrvatskoga sabora na novu lokaciju zbog početka obnove od posljedica potresa u 2024. godini.</w:t>
      </w:r>
    </w:p>
    <w:p w14:paraId="795F879B" w14:textId="77777777" w:rsidR="00C9284F" w:rsidRDefault="00C9284F"/>
    <w:p w14:paraId="60E23746" w14:textId="77777777" w:rsidR="00C9284F" w:rsidRDefault="00636D83">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7E728A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6F5CE8"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4C2061"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82D285"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D33BBE"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A7B295"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7AA756" w14:textId="77777777" w:rsidR="00C9284F" w:rsidRDefault="00636D83">
            <w:pPr>
              <w:keepNext/>
              <w:keepLines/>
              <w:spacing w:after="0" w:line="240" w:lineRule="auto"/>
              <w:jc w:val="center"/>
            </w:pPr>
            <w:r>
              <w:rPr>
                <w:b/>
                <w:sz w:val="18"/>
              </w:rPr>
              <w:t>Indeks (%)</w:t>
            </w:r>
          </w:p>
        </w:tc>
      </w:tr>
      <w:tr w:rsidR="00C9284F" w14:paraId="653B449A" w14:textId="77777777">
        <w:tblPrEx>
          <w:tblCellMar>
            <w:top w:w="0" w:type="dxa"/>
            <w:bottom w:w="0" w:type="dxa"/>
          </w:tblCellMar>
        </w:tblPrEx>
        <w:trPr>
          <w:cantSplit/>
          <w:trHeight w:val="560"/>
        </w:trPr>
        <w:tc>
          <w:tcPr>
            <w:tcW w:w="700" w:type="dxa"/>
            <w:tcMar>
              <w:top w:w="0" w:type="dxa"/>
              <w:bottom w:w="0" w:type="dxa"/>
            </w:tcMar>
            <w:vAlign w:val="center"/>
          </w:tcPr>
          <w:p w14:paraId="0B3FC38E" w14:textId="77777777" w:rsidR="00C9284F" w:rsidRDefault="00636D83">
            <w:pPr>
              <w:keepNext/>
              <w:keepLines/>
              <w:spacing w:after="0" w:line="240" w:lineRule="auto"/>
            </w:pPr>
            <w:r>
              <w:rPr>
                <w:sz w:val="18"/>
              </w:rPr>
              <w:t>4223</w:t>
            </w:r>
          </w:p>
        </w:tc>
        <w:tc>
          <w:tcPr>
            <w:tcW w:w="3180" w:type="dxa"/>
            <w:tcMar>
              <w:top w:w="0" w:type="dxa"/>
              <w:bottom w:w="0" w:type="dxa"/>
            </w:tcMar>
            <w:vAlign w:val="center"/>
          </w:tcPr>
          <w:p w14:paraId="283DDFDA" w14:textId="77777777" w:rsidR="00C9284F" w:rsidRDefault="00636D83">
            <w:pPr>
              <w:keepNext/>
              <w:keepLines/>
              <w:spacing w:after="0" w:line="240" w:lineRule="auto"/>
            </w:pPr>
            <w:r>
              <w:rPr>
                <w:sz w:val="18"/>
              </w:rPr>
              <w:t>Oprema za održavanje i zaštitu</w:t>
            </w:r>
          </w:p>
        </w:tc>
        <w:tc>
          <w:tcPr>
            <w:tcW w:w="700" w:type="dxa"/>
            <w:tcMar>
              <w:top w:w="0" w:type="dxa"/>
              <w:bottom w:w="0" w:type="dxa"/>
            </w:tcMar>
            <w:vAlign w:val="center"/>
          </w:tcPr>
          <w:p w14:paraId="68C169B0" w14:textId="77777777" w:rsidR="00C9284F" w:rsidRDefault="00636D83">
            <w:pPr>
              <w:keepNext/>
              <w:keepLines/>
              <w:spacing w:after="0" w:line="240" w:lineRule="auto"/>
            </w:pPr>
            <w:r>
              <w:rPr>
                <w:sz w:val="18"/>
              </w:rPr>
              <w:t>4223</w:t>
            </w:r>
          </w:p>
        </w:tc>
        <w:tc>
          <w:tcPr>
            <w:tcW w:w="1860" w:type="dxa"/>
            <w:tcMar>
              <w:top w:w="0" w:type="dxa"/>
              <w:bottom w:w="0" w:type="dxa"/>
            </w:tcMar>
            <w:vAlign w:val="center"/>
          </w:tcPr>
          <w:p w14:paraId="5F006751" w14:textId="77777777" w:rsidR="00C9284F" w:rsidRDefault="00636D83">
            <w:pPr>
              <w:keepNext/>
              <w:keepLines/>
              <w:spacing w:after="0" w:line="240" w:lineRule="auto"/>
              <w:jc w:val="right"/>
            </w:pPr>
            <w:r>
              <w:rPr>
                <w:sz w:val="18"/>
              </w:rPr>
              <w:t>7.128,75</w:t>
            </w:r>
          </w:p>
        </w:tc>
        <w:tc>
          <w:tcPr>
            <w:tcW w:w="1860" w:type="dxa"/>
            <w:tcMar>
              <w:top w:w="0" w:type="dxa"/>
              <w:bottom w:w="0" w:type="dxa"/>
            </w:tcMar>
            <w:vAlign w:val="center"/>
          </w:tcPr>
          <w:p w14:paraId="2D887B39" w14:textId="77777777" w:rsidR="00C9284F" w:rsidRDefault="00636D83">
            <w:pPr>
              <w:keepNext/>
              <w:keepLines/>
              <w:spacing w:after="0" w:line="240" w:lineRule="auto"/>
              <w:jc w:val="right"/>
            </w:pPr>
            <w:r>
              <w:rPr>
                <w:sz w:val="18"/>
              </w:rPr>
              <w:t>17.491,36</w:t>
            </w:r>
          </w:p>
        </w:tc>
        <w:tc>
          <w:tcPr>
            <w:tcW w:w="700" w:type="dxa"/>
            <w:tcMar>
              <w:top w:w="0" w:type="dxa"/>
              <w:bottom w:w="0" w:type="dxa"/>
            </w:tcMar>
            <w:vAlign w:val="center"/>
          </w:tcPr>
          <w:p w14:paraId="67EC09A7" w14:textId="77777777" w:rsidR="00C9284F" w:rsidRDefault="00636D83">
            <w:pPr>
              <w:keepNext/>
              <w:keepLines/>
              <w:spacing w:after="0" w:line="240" w:lineRule="auto"/>
              <w:jc w:val="right"/>
            </w:pPr>
            <w:r>
              <w:rPr>
                <w:sz w:val="18"/>
              </w:rPr>
              <w:t>245,4</w:t>
            </w:r>
          </w:p>
        </w:tc>
      </w:tr>
    </w:tbl>
    <w:p w14:paraId="2DC3A83B" w14:textId="77777777" w:rsidR="00C9284F" w:rsidRDefault="00C9284F">
      <w:pPr>
        <w:spacing w:after="0"/>
      </w:pPr>
    </w:p>
    <w:p w14:paraId="4619A292" w14:textId="77777777" w:rsidR="00C9284F" w:rsidRDefault="00636D83">
      <w:r>
        <w:t>Do odstupanja od ostvarenja u izvještajnom razdoblju prethodne godine došlo je zbog opremanja zaštitnom i drugom opremom uredskog prostora na lokaciji Trg bana Josipa Jelačića 3.</w:t>
      </w:r>
    </w:p>
    <w:p w14:paraId="607E8B49" w14:textId="77777777" w:rsidR="00C9284F" w:rsidRDefault="00C9284F"/>
    <w:p w14:paraId="71B25DF6" w14:textId="77777777" w:rsidR="00C9284F" w:rsidRDefault="00636D83">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06709A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CB9C87"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40D21E"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C99208"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F3FB2C"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F79EA7"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8E3413" w14:textId="77777777" w:rsidR="00C9284F" w:rsidRDefault="00636D83">
            <w:pPr>
              <w:keepNext/>
              <w:keepLines/>
              <w:spacing w:after="0" w:line="240" w:lineRule="auto"/>
              <w:jc w:val="center"/>
            </w:pPr>
            <w:r>
              <w:rPr>
                <w:b/>
                <w:sz w:val="18"/>
              </w:rPr>
              <w:t>Indeks (%)</w:t>
            </w:r>
          </w:p>
        </w:tc>
      </w:tr>
      <w:tr w:rsidR="00C9284F" w14:paraId="76EFF9EA" w14:textId="77777777">
        <w:tblPrEx>
          <w:tblCellMar>
            <w:top w:w="0" w:type="dxa"/>
            <w:bottom w:w="0" w:type="dxa"/>
          </w:tblCellMar>
        </w:tblPrEx>
        <w:trPr>
          <w:cantSplit/>
          <w:trHeight w:val="560"/>
        </w:trPr>
        <w:tc>
          <w:tcPr>
            <w:tcW w:w="700" w:type="dxa"/>
            <w:tcMar>
              <w:top w:w="0" w:type="dxa"/>
              <w:bottom w:w="0" w:type="dxa"/>
            </w:tcMar>
            <w:vAlign w:val="center"/>
          </w:tcPr>
          <w:p w14:paraId="28EC21D8" w14:textId="77777777" w:rsidR="00C9284F" w:rsidRDefault="00636D83">
            <w:pPr>
              <w:keepNext/>
              <w:keepLines/>
              <w:spacing w:after="0" w:line="240" w:lineRule="auto"/>
            </w:pPr>
            <w:r>
              <w:rPr>
                <w:sz w:val="18"/>
              </w:rPr>
              <w:t>4227</w:t>
            </w:r>
          </w:p>
        </w:tc>
        <w:tc>
          <w:tcPr>
            <w:tcW w:w="3180" w:type="dxa"/>
            <w:tcMar>
              <w:top w:w="0" w:type="dxa"/>
              <w:bottom w:w="0" w:type="dxa"/>
            </w:tcMar>
            <w:vAlign w:val="center"/>
          </w:tcPr>
          <w:p w14:paraId="05DB1A43" w14:textId="77777777" w:rsidR="00C9284F" w:rsidRDefault="00636D83">
            <w:pPr>
              <w:keepNext/>
              <w:keepLines/>
              <w:spacing w:after="0" w:line="240" w:lineRule="auto"/>
            </w:pPr>
            <w:r>
              <w:rPr>
                <w:sz w:val="18"/>
              </w:rPr>
              <w:t>Uređaji, strojevi i oprema za ostale namjene</w:t>
            </w:r>
          </w:p>
        </w:tc>
        <w:tc>
          <w:tcPr>
            <w:tcW w:w="700" w:type="dxa"/>
            <w:tcMar>
              <w:top w:w="0" w:type="dxa"/>
              <w:bottom w:w="0" w:type="dxa"/>
            </w:tcMar>
            <w:vAlign w:val="center"/>
          </w:tcPr>
          <w:p w14:paraId="418B380F" w14:textId="77777777" w:rsidR="00C9284F" w:rsidRDefault="00636D83">
            <w:pPr>
              <w:keepNext/>
              <w:keepLines/>
              <w:spacing w:after="0" w:line="240" w:lineRule="auto"/>
            </w:pPr>
            <w:r>
              <w:rPr>
                <w:sz w:val="18"/>
              </w:rPr>
              <w:t>4227</w:t>
            </w:r>
          </w:p>
        </w:tc>
        <w:tc>
          <w:tcPr>
            <w:tcW w:w="1860" w:type="dxa"/>
            <w:tcMar>
              <w:top w:w="0" w:type="dxa"/>
              <w:bottom w:w="0" w:type="dxa"/>
            </w:tcMar>
            <w:vAlign w:val="center"/>
          </w:tcPr>
          <w:p w14:paraId="14F26860" w14:textId="77777777" w:rsidR="00C9284F" w:rsidRDefault="00636D83">
            <w:pPr>
              <w:keepNext/>
              <w:keepLines/>
              <w:spacing w:after="0" w:line="240" w:lineRule="auto"/>
              <w:jc w:val="right"/>
            </w:pPr>
            <w:r>
              <w:rPr>
                <w:sz w:val="18"/>
              </w:rPr>
              <w:t>15.763,55</w:t>
            </w:r>
          </w:p>
        </w:tc>
        <w:tc>
          <w:tcPr>
            <w:tcW w:w="1860" w:type="dxa"/>
            <w:tcMar>
              <w:top w:w="0" w:type="dxa"/>
              <w:bottom w:w="0" w:type="dxa"/>
            </w:tcMar>
            <w:vAlign w:val="center"/>
          </w:tcPr>
          <w:p w14:paraId="329AE4F2" w14:textId="77777777" w:rsidR="00C9284F" w:rsidRDefault="00636D83">
            <w:pPr>
              <w:keepNext/>
              <w:keepLines/>
              <w:spacing w:after="0" w:line="240" w:lineRule="auto"/>
              <w:jc w:val="right"/>
            </w:pPr>
            <w:r>
              <w:rPr>
                <w:sz w:val="18"/>
              </w:rPr>
              <w:t>9.291,22</w:t>
            </w:r>
          </w:p>
        </w:tc>
        <w:tc>
          <w:tcPr>
            <w:tcW w:w="700" w:type="dxa"/>
            <w:tcMar>
              <w:top w:w="0" w:type="dxa"/>
              <w:bottom w:w="0" w:type="dxa"/>
            </w:tcMar>
            <w:vAlign w:val="center"/>
          </w:tcPr>
          <w:p w14:paraId="7B4DE8FC" w14:textId="77777777" w:rsidR="00C9284F" w:rsidRDefault="00636D83">
            <w:pPr>
              <w:keepNext/>
              <w:keepLines/>
              <w:spacing w:after="0" w:line="240" w:lineRule="auto"/>
              <w:jc w:val="right"/>
            </w:pPr>
            <w:r>
              <w:rPr>
                <w:sz w:val="18"/>
              </w:rPr>
              <w:t>58,9</w:t>
            </w:r>
          </w:p>
        </w:tc>
      </w:tr>
    </w:tbl>
    <w:p w14:paraId="6F537546" w14:textId="77777777" w:rsidR="00C9284F" w:rsidRDefault="00C9284F">
      <w:pPr>
        <w:spacing w:after="0"/>
      </w:pPr>
    </w:p>
    <w:p w14:paraId="6FC6F497" w14:textId="77777777" w:rsidR="00C9284F" w:rsidRDefault="00636D83">
      <w:r>
        <w:t>Do odstupanja od ostvarenja u izvještajnom razdoblju prethodne godine došlo je zbog nabave ostale opreme za potrebe povratka na matičnu lokaciju nakon završetka obnove od posljedica potresa te dodatne opreme za potrebe djelatnika Ureda uslijed preseljenja Hrvatskoga sabora na novu lokaciju zbog početka obnove od posljedica potresa u 2024. godini.</w:t>
      </w:r>
    </w:p>
    <w:p w14:paraId="3EA22FEE" w14:textId="77777777" w:rsidR="00C9284F" w:rsidRDefault="00C9284F"/>
    <w:p w14:paraId="6F1586AA" w14:textId="77777777" w:rsidR="00C9284F" w:rsidRDefault="00636D83">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044E64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DC135B"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DF5D9B"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16CB17"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7A0BA6"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1D8E10"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DFBC7A" w14:textId="77777777" w:rsidR="00C9284F" w:rsidRDefault="00636D83">
            <w:pPr>
              <w:keepNext/>
              <w:keepLines/>
              <w:spacing w:after="0" w:line="240" w:lineRule="auto"/>
              <w:jc w:val="center"/>
            </w:pPr>
            <w:r>
              <w:rPr>
                <w:b/>
                <w:sz w:val="18"/>
              </w:rPr>
              <w:t>Indeks (%)</w:t>
            </w:r>
          </w:p>
        </w:tc>
      </w:tr>
      <w:tr w:rsidR="00C9284F" w14:paraId="67366E61" w14:textId="77777777">
        <w:tblPrEx>
          <w:tblCellMar>
            <w:top w:w="0" w:type="dxa"/>
            <w:bottom w:w="0" w:type="dxa"/>
          </w:tblCellMar>
        </w:tblPrEx>
        <w:trPr>
          <w:cantSplit/>
          <w:trHeight w:val="560"/>
        </w:trPr>
        <w:tc>
          <w:tcPr>
            <w:tcW w:w="700" w:type="dxa"/>
            <w:tcMar>
              <w:top w:w="0" w:type="dxa"/>
              <w:bottom w:w="0" w:type="dxa"/>
            </w:tcMar>
            <w:vAlign w:val="center"/>
          </w:tcPr>
          <w:p w14:paraId="4E7D9CBB" w14:textId="77777777" w:rsidR="00C9284F" w:rsidRDefault="00636D83">
            <w:pPr>
              <w:keepNext/>
              <w:keepLines/>
              <w:spacing w:after="0" w:line="240" w:lineRule="auto"/>
            </w:pPr>
            <w:r>
              <w:rPr>
                <w:sz w:val="18"/>
              </w:rPr>
              <w:t>4231</w:t>
            </w:r>
          </w:p>
        </w:tc>
        <w:tc>
          <w:tcPr>
            <w:tcW w:w="3180" w:type="dxa"/>
            <w:tcMar>
              <w:top w:w="0" w:type="dxa"/>
              <w:bottom w:w="0" w:type="dxa"/>
            </w:tcMar>
            <w:vAlign w:val="center"/>
          </w:tcPr>
          <w:p w14:paraId="43F29BBC" w14:textId="77777777" w:rsidR="00C9284F" w:rsidRDefault="00636D83">
            <w:pPr>
              <w:keepNext/>
              <w:keepLines/>
              <w:spacing w:after="0" w:line="240" w:lineRule="auto"/>
            </w:pPr>
            <w:r>
              <w:rPr>
                <w:sz w:val="18"/>
              </w:rPr>
              <w:t>Prijevozna sredstva u cestovnom prometu</w:t>
            </w:r>
          </w:p>
        </w:tc>
        <w:tc>
          <w:tcPr>
            <w:tcW w:w="700" w:type="dxa"/>
            <w:tcMar>
              <w:top w:w="0" w:type="dxa"/>
              <w:bottom w:w="0" w:type="dxa"/>
            </w:tcMar>
            <w:vAlign w:val="center"/>
          </w:tcPr>
          <w:p w14:paraId="4D4D410E" w14:textId="77777777" w:rsidR="00C9284F" w:rsidRDefault="00636D83">
            <w:pPr>
              <w:keepNext/>
              <w:keepLines/>
              <w:spacing w:after="0" w:line="240" w:lineRule="auto"/>
            </w:pPr>
            <w:r>
              <w:rPr>
                <w:sz w:val="18"/>
              </w:rPr>
              <w:t>4231</w:t>
            </w:r>
          </w:p>
        </w:tc>
        <w:tc>
          <w:tcPr>
            <w:tcW w:w="1860" w:type="dxa"/>
            <w:tcMar>
              <w:top w:w="0" w:type="dxa"/>
              <w:bottom w:w="0" w:type="dxa"/>
            </w:tcMar>
            <w:vAlign w:val="center"/>
          </w:tcPr>
          <w:p w14:paraId="27C5940C" w14:textId="77777777" w:rsidR="00C9284F" w:rsidRDefault="00636D83">
            <w:pPr>
              <w:keepNext/>
              <w:keepLines/>
              <w:spacing w:after="0" w:line="240" w:lineRule="auto"/>
              <w:jc w:val="right"/>
            </w:pPr>
            <w:r>
              <w:rPr>
                <w:sz w:val="18"/>
              </w:rPr>
              <w:t>29.979,33</w:t>
            </w:r>
          </w:p>
        </w:tc>
        <w:tc>
          <w:tcPr>
            <w:tcW w:w="1860" w:type="dxa"/>
            <w:tcMar>
              <w:top w:w="0" w:type="dxa"/>
              <w:bottom w:w="0" w:type="dxa"/>
            </w:tcMar>
            <w:vAlign w:val="center"/>
          </w:tcPr>
          <w:p w14:paraId="61CD61A8" w14:textId="77777777" w:rsidR="00C9284F" w:rsidRDefault="00636D83">
            <w:pPr>
              <w:keepNext/>
              <w:keepLines/>
              <w:spacing w:after="0" w:line="240" w:lineRule="auto"/>
              <w:jc w:val="right"/>
            </w:pPr>
            <w:r>
              <w:rPr>
                <w:sz w:val="18"/>
              </w:rPr>
              <w:t>591.217,83</w:t>
            </w:r>
          </w:p>
        </w:tc>
        <w:tc>
          <w:tcPr>
            <w:tcW w:w="700" w:type="dxa"/>
            <w:tcMar>
              <w:top w:w="0" w:type="dxa"/>
              <w:bottom w:w="0" w:type="dxa"/>
            </w:tcMar>
            <w:vAlign w:val="center"/>
          </w:tcPr>
          <w:p w14:paraId="1F2846F2" w14:textId="77777777" w:rsidR="00C9284F" w:rsidRDefault="00636D83">
            <w:pPr>
              <w:keepNext/>
              <w:keepLines/>
              <w:spacing w:after="0" w:line="240" w:lineRule="auto"/>
              <w:jc w:val="right"/>
            </w:pPr>
            <w:r>
              <w:rPr>
                <w:sz w:val="18"/>
              </w:rPr>
              <w:t>1972,1</w:t>
            </w:r>
          </w:p>
        </w:tc>
      </w:tr>
    </w:tbl>
    <w:p w14:paraId="2E356F7B" w14:textId="77777777" w:rsidR="00C9284F" w:rsidRDefault="00C9284F">
      <w:pPr>
        <w:spacing w:after="0"/>
      </w:pPr>
    </w:p>
    <w:p w14:paraId="53029F45" w14:textId="77777777" w:rsidR="00C9284F" w:rsidRDefault="00636D83">
      <w:r>
        <w:t>Do odstupanja od ostvarenja u izvještajnom razdoblju prethodne godine došlo je zbog knjigovodstvenog evidentiranja ukupnog iznosa za 9 službenih automobila nabavljenih putem financijskog leasinga s rokom otplate na 5 godina.</w:t>
      </w:r>
    </w:p>
    <w:p w14:paraId="26A4EEE3" w14:textId="77777777" w:rsidR="00C9284F" w:rsidRDefault="00C9284F"/>
    <w:p w14:paraId="206D459F" w14:textId="77777777" w:rsidR="00C9284F" w:rsidRDefault="00636D83">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0904CB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149F5C"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32418D"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096963"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1CA00F"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351B0D"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5BACE5" w14:textId="77777777" w:rsidR="00C9284F" w:rsidRDefault="00636D83">
            <w:pPr>
              <w:keepNext/>
              <w:keepLines/>
              <w:spacing w:after="0" w:line="240" w:lineRule="auto"/>
              <w:jc w:val="center"/>
            </w:pPr>
            <w:r>
              <w:rPr>
                <w:b/>
                <w:sz w:val="18"/>
              </w:rPr>
              <w:t>Indeks (%)</w:t>
            </w:r>
          </w:p>
        </w:tc>
      </w:tr>
      <w:tr w:rsidR="00C9284F" w14:paraId="5B5420F2" w14:textId="77777777">
        <w:tblPrEx>
          <w:tblCellMar>
            <w:top w:w="0" w:type="dxa"/>
            <w:bottom w:w="0" w:type="dxa"/>
          </w:tblCellMar>
        </w:tblPrEx>
        <w:trPr>
          <w:cantSplit/>
          <w:trHeight w:val="560"/>
        </w:trPr>
        <w:tc>
          <w:tcPr>
            <w:tcW w:w="700" w:type="dxa"/>
            <w:tcMar>
              <w:top w:w="0" w:type="dxa"/>
              <w:bottom w:w="0" w:type="dxa"/>
            </w:tcMar>
            <w:vAlign w:val="center"/>
          </w:tcPr>
          <w:p w14:paraId="17EF5160" w14:textId="77777777" w:rsidR="00C9284F" w:rsidRDefault="00636D83">
            <w:pPr>
              <w:keepNext/>
              <w:keepLines/>
              <w:spacing w:after="0" w:line="240" w:lineRule="auto"/>
            </w:pPr>
            <w:r>
              <w:rPr>
                <w:sz w:val="18"/>
              </w:rPr>
              <w:t>4262</w:t>
            </w:r>
          </w:p>
        </w:tc>
        <w:tc>
          <w:tcPr>
            <w:tcW w:w="3180" w:type="dxa"/>
            <w:tcMar>
              <w:top w:w="0" w:type="dxa"/>
              <w:bottom w:w="0" w:type="dxa"/>
            </w:tcMar>
            <w:vAlign w:val="center"/>
          </w:tcPr>
          <w:p w14:paraId="53118F90" w14:textId="77777777" w:rsidR="00C9284F" w:rsidRDefault="00636D83">
            <w:pPr>
              <w:keepNext/>
              <w:keepLines/>
              <w:spacing w:after="0" w:line="240" w:lineRule="auto"/>
            </w:pPr>
            <w:r>
              <w:rPr>
                <w:sz w:val="18"/>
              </w:rPr>
              <w:t>Ulaganja u računalne programe</w:t>
            </w:r>
          </w:p>
        </w:tc>
        <w:tc>
          <w:tcPr>
            <w:tcW w:w="700" w:type="dxa"/>
            <w:tcMar>
              <w:top w:w="0" w:type="dxa"/>
              <w:bottom w:w="0" w:type="dxa"/>
            </w:tcMar>
            <w:vAlign w:val="center"/>
          </w:tcPr>
          <w:p w14:paraId="63BD7049" w14:textId="77777777" w:rsidR="00C9284F" w:rsidRDefault="00636D83">
            <w:pPr>
              <w:keepNext/>
              <w:keepLines/>
              <w:spacing w:after="0" w:line="240" w:lineRule="auto"/>
            </w:pPr>
            <w:r>
              <w:rPr>
                <w:sz w:val="18"/>
              </w:rPr>
              <w:t>4262</w:t>
            </w:r>
          </w:p>
        </w:tc>
        <w:tc>
          <w:tcPr>
            <w:tcW w:w="1860" w:type="dxa"/>
            <w:tcMar>
              <w:top w:w="0" w:type="dxa"/>
              <w:bottom w:w="0" w:type="dxa"/>
            </w:tcMar>
            <w:vAlign w:val="center"/>
          </w:tcPr>
          <w:p w14:paraId="75898CB7" w14:textId="77777777" w:rsidR="00C9284F" w:rsidRDefault="00636D83">
            <w:pPr>
              <w:keepNext/>
              <w:keepLines/>
              <w:spacing w:after="0" w:line="240" w:lineRule="auto"/>
              <w:jc w:val="right"/>
            </w:pPr>
            <w:r>
              <w:rPr>
                <w:sz w:val="18"/>
              </w:rPr>
              <w:t>1.306,50</w:t>
            </w:r>
          </w:p>
        </w:tc>
        <w:tc>
          <w:tcPr>
            <w:tcW w:w="1860" w:type="dxa"/>
            <w:tcMar>
              <w:top w:w="0" w:type="dxa"/>
              <w:bottom w:w="0" w:type="dxa"/>
            </w:tcMar>
            <w:vAlign w:val="center"/>
          </w:tcPr>
          <w:p w14:paraId="38E82D69" w14:textId="77777777" w:rsidR="00C9284F" w:rsidRDefault="00636D83">
            <w:pPr>
              <w:keepNext/>
              <w:keepLines/>
              <w:spacing w:after="0" w:line="240" w:lineRule="auto"/>
              <w:jc w:val="right"/>
            </w:pPr>
            <w:r>
              <w:rPr>
                <w:sz w:val="18"/>
              </w:rPr>
              <w:t>2.967,50</w:t>
            </w:r>
          </w:p>
        </w:tc>
        <w:tc>
          <w:tcPr>
            <w:tcW w:w="700" w:type="dxa"/>
            <w:tcMar>
              <w:top w:w="0" w:type="dxa"/>
              <w:bottom w:w="0" w:type="dxa"/>
            </w:tcMar>
            <w:vAlign w:val="center"/>
          </w:tcPr>
          <w:p w14:paraId="3E22E265" w14:textId="77777777" w:rsidR="00C9284F" w:rsidRDefault="00636D83">
            <w:pPr>
              <w:keepNext/>
              <w:keepLines/>
              <w:spacing w:after="0" w:line="240" w:lineRule="auto"/>
              <w:jc w:val="right"/>
            </w:pPr>
            <w:r>
              <w:rPr>
                <w:sz w:val="18"/>
              </w:rPr>
              <w:t>227,1</w:t>
            </w:r>
          </w:p>
        </w:tc>
      </w:tr>
    </w:tbl>
    <w:p w14:paraId="4580BF1A" w14:textId="77777777" w:rsidR="00C9284F" w:rsidRDefault="00C9284F">
      <w:pPr>
        <w:spacing w:after="0"/>
      </w:pPr>
    </w:p>
    <w:p w14:paraId="77302474" w14:textId="77777777" w:rsidR="00C9284F" w:rsidRDefault="00636D83">
      <w:r>
        <w:t>Do odstupanja od ostvarenja u izvještajnom razdoblju prethodne godine došlo je zbog nadogradnje programskog rješenja za aplikaciju eUred.</w:t>
      </w:r>
    </w:p>
    <w:p w14:paraId="0CF37872" w14:textId="77777777" w:rsidR="00C9284F" w:rsidRDefault="00C9284F"/>
    <w:p w14:paraId="73605C17" w14:textId="77777777" w:rsidR="00C9284F" w:rsidRDefault="00636D83">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519FC6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B9E4C7"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8A7B0A"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9EF2D2"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D62101"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BCFE7A"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7B635E" w14:textId="77777777" w:rsidR="00C9284F" w:rsidRDefault="00636D83">
            <w:pPr>
              <w:keepNext/>
              <w:keepLines/>
              <w:spacing w:after="0" w:line="240" w:lineRule="auto"/>
              <w:jc w:val="center"/>
            </w:pPr>
            <w:r>
              <w:rPr>
                <w:b/>
                <w:sz w:val="18"/>
              </w:rPr>
              <w:t>Indeks (%)</w:t>
            </w:r>
          </w:p>
        </w:tc>
      </w:tr>
      <w:tr w:rsidR="00C9284F" w14:paraId="21DDBB5A" w14:textId="77777777">
        <w:tblPrEx>
          <w:tblCellMar>
            <w:top w:w="0" w:type="dxa"/>
            <w:bottom w:w="0" w:type="dxa"/>
          </w:tblCellMar>
        </w:tblPrEx>
        <w:trPr>
          <w:cantSplit/>
          <w:trHeight w:val="560"/>
        </w:trPr>
        <w:tc>
          <w:tcPr>
            <w:tcW w:w="700" w:type="dxa"/>
            <w:tcMar>
              <w:top w:w="0" w:type="dxa"/>
              <w:bottom w:w="0" w:type="dxa"/>
            </w:tcMar>
            <w:vAlign w:val="center"/>
          </w:tcPr>
          <w:p w14:paraId="799C210F" w14:textId="77777777" w:rsidR="00C9284F" w:rsidRDefault="00636D83">
            <w:pPr>
              <w:keepNext/>
              <w:keepLines/>
              <w:spacing w:after="0" w:line="240" w:lineRule="auto"/>
            </w:pPr>
            <w:r>
              <w:rPr>
                <w:sz w:val="18"/>
              </w:rPr>
              <w:t>451</w:t>
            </w:r>
          </w:p>
        </w:tc>
        <w:tc>
          <w:tcPr>
            <w:tcW w:w="3180" w:type="dxa"/>
            <w:tcMar>
              <w:top w:w="0" w:type="dxa"/>
              <w:bottom w:w="0" w:type="dxa"/>
            </w:tcMar>
            <w:vAlign w:val="center"/>
          </w:tcPr>
          <w:p w14:paraId="75AD3F6C" w14:textId="77777777" w:rsidR="00C9284F" w:rsidRDefault="00636D83">
            <w:pPr>
              <w:keepNext/>
              <w:keepLines/>
              <w:spacing w:after="0" w:line="240" w:lineRule="auto"/>
            </w:pPr>
            <w:r>
              <w:rPr>
                <w:sz w:val="18"/>
              </w:rPr>
              <w:t>Dodatna ulaganja na građevinskim objektima</w:t>
            </w:r>
          </w:p>
        </w:tc>
        <w:tc>
          <w:tcPr>
            <w:tcW w:w="700" w:type="dxa"/>
            <w:tcMar>
              <w:top w:w="0" w:type="dxa"/>
              <w:bottom w:w="0" w:type="dxa"/>
            </w:tcMar>
            <w:vAlign w:val="center"/>
          </w:tcPr>
          <w:p w14:paraId="1266FF8F" w14:textId="77777777" w:rsidR="00C9284F" w:rsidRDefault="00636D83">
            <w:pPr>
              <w:keepNext/>
              <w:keepLines/>
              <w:spacing w:after="0" w:line="240" w:lineRule="auto"/>
            </w:pPr>
            <w:r>
              <w:rPr>
                <w:sz w:val="18"/>
              </w:rPr>
              <w:t>451</w:t>
            </w:r>
          </w:p>
        </w:tc>
        <w:tc>
          <w:tcPr>
            <w:tcW w:w="1860" w:type="dxa"/>
            <w:tcMar>
              <w:top w:w="0" w:type="dxa"/>
              <w:bottom w:w="0" w:type="dxa"/>
            </w:tcMar>
            <w:vAlign w:val="center"/>
          </w:tcPr>
          <w:p w14:paraId="1466C507" w14:textId="77777777" w:rsidR="00C9284F" w:rsidRDefault="00636D83">
            <w:pPr>
              <w:keepNext/>
              <w:keepLines/>
              <w:spacing w:after="0" w:line="240" w:lineRule="auto"/>
              <w:jc w:val="right"/>
            </w:pPr>
            <w:r>
              <w:rPr>
                <w:sz w:val="18"/>
              </w:rPr>
              <w:t>1.551.069,91</w:t>
            </w:r>
          </w:p>
        </w:tc>
        <w:tc>
          <w:tcPr>
            <w:tcW w:w="1860" w:type="dxa"/>
            <w:tcMar>
              <w:top w:w="0" w:type="dxa"/>
              <w:bottom w:w="0" w:type="dxa"/>
            </w:tcMar>
            <w:vAlign w:val="center"/>
          </w:tcPr>
          <w:p w14:paraId="45A15A3C" w14:textId="77777777" w:rsidR="00C9284F" w:rsidRDefault="00636D83">
            <w:pPr>
              <w:keepNext/>
              <w:keepLines/>
              <w:spacing w:after="0" w:line="240" w:lineRule="auto"/>
              <w:jc w:val="right"/>
            </w:pPr>
            <w:r>
              <w:rPr>
                <w:sz w:val="18"/>
              </w:rPr>
              <w:t>0,00</w:t>
            </w:r>
          </w:p>
        </w:tc>
        <w:tc>
          <w:tcPr>
            <w:tcW w:w="700" w:type="dxa"/>
            <w:tcMar>
              <w:top w:w="0" w:type="dxa"/>
              <w:bottom w:w="0" w:type="dxa"/>
            </w:tcMar>
            <w:vAlign w:val="center"/>
          </w:tcPr>
          <w:p w14:paraId="5A0F8E94" w14:textId="77777777" w:rsidR="00C9284F" w:rsidRDefault="00636D83">
            <w:pPr>
              <w:keepNext/>
              <w:keepLines/>
              <w:spacing w:after="0" w:line="240" w:lineRule="auto"/>
              <w:jc w:val="right"/>
            </w:pPr>
            <w:r>
              <w:rPr>
                <w:sz w:val="18"/>
              </w:rPr>
              <w:t>0</w:t>
            </w:r>
          </w:p>
        </w:tc>
      </w:tr>
    </w:tbl>
    <w:p w14:paraId="526941A3" w14:textId="77777777" w:rsidR="00C9284F" w:rsidRDefault="00C9284F">
      <w:pPr>
        <w:spacing w:after="0"/>
      </w:pPr>
    </w:p>
    <w:p w14:paraId="2B07F12B" w14:textId="77777777" w:rsidR="00C9284F" w:rsidRDefault="00636D83">
      <w:r>
        <w:t>U istom obračunskom razdoblju prethodne godine podmireni radovi konstrukcijske obnove za vrijeme cjelovite obnove (15. - 17. privremena situacija i 21. okončana situacija), usluge stručnog nadzora za radove cjelovite obnove (10 rata) te radovi cjelovite obnove (14. – 20. privremena situacija i 21. okončana situacija) te restauratorski radovi - vraćanje profilacija u izvorno stanje.</w:t>
      </w:r>
    </w:p>
    <w:p w14:paraId="6ABBC820" w14:textId="77777777" w:rsidR="00C9284F" w:rsidRDefault="00C9284F"/>
    <w:p w14:paraId="40F954BB" w14:textId="77777777" w:rsidR="00C9284F" w:rsidRDefault="00636D83">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58BBC6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34735C"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3A59B3"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901A99"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5908A5"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AD6A18"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CC17D9" w14:textId="77777777" w:rsidR="00C9284F" w:rsidRDefault="00636D83">
            <w:pPr>
              <w:keepNext/>
              <w:keepLines/>
              <w:spacing w:after="0" w:line="240" w:lineRule="auto"/>
              <w:jc w:val="center"/>
            </w:pPr>
            <w:r>
              <w:rPr>
                <w:b/>
                <w:sz w:val="18"/>
              </w:rPr>
              <w:t>Indeks (%)</w:t>
            </w:r>
          </w:p>
        </w:tc>
      </w:tr>
      <w:tr w:rsidR="00C9284F" w14:paraId="7CE2A59D" w14:textId="77777777">
        <w:tblPrEx>
          <w:tblCellMar>
            <w:top w:w="0" w:type="dxa"/>
            <w:bottom w:w="0" w:type="dxa"/>
          </w:tblCellMar>
        </w:tblPrEx>
        <w:trPr>
          <w:cantSplit/>
          <w:trHeight w:val="560"/>
        </w:trPr>
        <w:tc>
          <w:tcPr>
            <w:tcW w:w="700" w:type="dxa"/>
            <w:tcMar>
              <w:top w:w="0" w:type="dxa"/>
              <w:bottom w:w="0" w:type="dxa"/>
            </w:tcMar>
            <w:vAlign w:val="center"/>
          </w:tcPr>
          <w:p w14:paraId="36C2F6A8" w14:textId="77777777" w:rsidR="00C9284F" w:rsidRDefault="00636D83">
            <w:pPr>
              <w:keepNext/>
              <w:keepLines/>
              <w:spacing w:after="0" w:line="240" w:lineRule="auto"/>
            </w:pPr>
            <w:r>
              <w:rPr>
                <w:sz w:val="18"/>
              </w:rPr>
              <w:t>8445</w:t>
            </w:r>
          </w:p>
        </w:tc>
        <w:tc>
          <w:tcPr>
            <w:tcW w:w="3180" w:type="dxa"/>
            <w:tcMar>
              <w:top w:w="0" w:type="dxa"/>
              <w:bottom w:w="0" w:type="dxa"/>
            </w:tcMar>
            <w:vAlign w:val="center"/>
          </w:tcPr>
          <w:p w14:paraId="707D49E5" w14:textId="77777777" w:rsidR="00C9284F" w:rsidRDefault="00636D83">
            <w:pPr>
              <w:keepNext/>
              <w:keepLines/>
              <w:spacing w:after="0" w:line="240" w:lineRule="auto"/>
            </w:pPr>
            <w:r>
              <w:rPr>
                <w:sz w:val="18"/>
              </w:rPr>
              <w:t>Primljeni zajmovi od ostalih tuzemnih financijskih institucija izvan javnog sektora</w:t>
            </w:r>
          </w:p>
        </w:tc>
        <w:tc>
          <w:tcPr>
            <w:tcW w:w="700" w:type="dxa"/>
            <w:tcMar>
              <w:top w:w="0" w:type="dxa"/>
              <w:bottom w:w="0" w:type="dxa"/>
            </w:tcMar>
            <w:vAlign w:val="center"/>
          </w:tcPr>
          <w:p w14:paraId="1188BF3E" w14:textId="77777777" w:rsidR="00C9284F" w:rsidRDefault="00636D83">
            <w:pPr>
              <w:keepNext/>
              <w:keepLines/>
              <w:spacing w:after="0" w:line="240" w:lineRule="auto"/>
            </w:pPr>
            <w:r>
              <w:rPr>
                <w:sz w:val="18"/>
              </w:rPr>
              <w:t>8445</w:t>
            </w:r>
          </w:p>
        </w:tc>
        <w:tc>
          <w:tcPr>
            <w:tcW w:w="1860" w:type="dxa"/>
            <w:tcMar>
              <w:top w:w="0" w:type="dxa"/>
              <w:bottom w:w="0" w:type="dxa"/>
            </w:tcMar>
            <w:vAlign w:val="center"/>
          </w:tcPr>
          <w:p w14:paraId="461D7A7A" w14:textId="77777777" w:rsidR="00C9284F" w:rsidRDefault="00636D83">
            <w:pPr>
              <w:keepNext/>
              <w:keepLines/>
              <w:spacing w:after="0" w:line="240" w:lineRule="auto"/>
              <w:jc w:val="right"/>
            </w:pPr>
            <w:r>
              <w:rPr>
                <w:sz w:val="18"/>
              </w:rPr>
              <w:t>0,00</w:t>
            </w:r>
          </w:p>
        </w:tc>
        <w:tc>
          <w:tcPr>
            <w:tcW w:w="1860" w:type="dxa"/>
            <w:tcMar>
              <w:top w:w="0" w:type="dxa"/>
              <w:bottom w:w="0" w:type="dxa"/>
            </w:tcMar>
            <w:vAlign w:val="center"/>
          </w:tcPr>
          <w:p w14:paraId="73F062B3" w14:textId="77777777" w:rsidR="00C9284F" w:rsidRDefault="00636D83">
            <w:pPr>
              <w:keepNext/>
              <w:keepLines/>
              <w:spacing w:after="0" w:line="240" w:lineRule="auto"/>
              <w:jc w:val="right"/>
            </w:pPr>
            <w:r>
              <w:rPr>
                <w:sz w:val="18"/>
              </w:rPr>
              <w:t>591.217,83</w:t>
            </w:r>
          </w:p>
        </w:tc>
        <w:tc>
          <w:tcPr>
            <w:tcW w:w="700" w:type="dxa"/>
            <w:tcMar>
              <w:top w:w="0" w:type="dxa"/>
              <w:bottom w:w="0" w:type="dxa"/>
            </w:tcMar>
            <w:vAlign w:val="center"/>
          </w:tcPr>
          <w:p w14:paraId="680758B2" w14:textId="77777777" w:rsidR="00C9284F" w:rsidRDefault="00636D83">
            <w:pPr>
              <w:keepNext/>
              <w:keepLines/>
              <w:spacing w:after="0" w:line="240" w:lineRule="auto"/>
              <w:jc w:val="right"/>
            </w:pPr>
            <w:r>
              <w:rPr>
                <w:sz w:val="18"/>
              </w:rPr>
              <w:t>-</w:t>
            </w:r>
          </w:p>
        </w:tc>
      </w:tr>
    </w:tbl>
    <w:p w14:paraId="1DF86908" w14:textId="77777777" w:rsidR="00C9284F" w:rsidRDefault="00C9284F">
      <w:pPr>
        <w:spacing w:after="0"/>
      </w:pPr>
    </w:p>
    <w:p w14:paraId="5DE20815" w14:textId="77777777" w:rsidR="00C9284F" w:rsidRDefault="00636D83">
      <w:r>
        <w:t>Do odstupanja od ostvarenja u izvještajnom razdoblju prethodne godine došlo je zbog knjigovodstvenog evidentiranja ukupnog iznosa za 9 službenih automobila nabavljenih putem financijskog leasinga s rokom otplate na 5 godina.</w:t>
      </w:r>
    </w:p>
    <w:p w14:paraId="435D05F7" w14:textId="77777777" w:rsidR="00C9284F" w:rsidRDefault="00C9284F"/>
    <w:p w14:paraId="62BAA3A1" w14:textId="77777777" w:rsidR="00C9284F" w:rsidRDefault="00636D83">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597558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243B98"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0F0378"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04F6D8"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7EBE05" w14:textId="77777777" w:rsidR="00C9284F" w:rsidRDefault="00636D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4CA1E7" w14:textId="77777777" w:rsidR="00C9284F" w:rsidRDefault="00636D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EBFDD3" w14:textId="77777777" w:rsidR="00C9284F" w:rsidRDefault="00636D83">
            <w:pPr>
              <w:keepNext/>
              <w:keepLines/>
              <w:spacing w:after="0" w:line="240" w:lineRule="auto"/>
              <w:jc w:val="center"/>
            </w:pPr>
            <w:r>
              <w:rPr>
                <w:b/>
                <w:sz w:val="18"/>
              </w:rPr>
              <w:t>Indeks (%)</w:t>
            </w:r>
          </w:p>
        </w:tc>
      </w:tr>
      <w:tr w:rsidR="00C9284F" w14:paraId="29073C1F" w14:textId="77777777">
        <w:tblPrEx>
          <w:tblCellMar>
            <w:top w:w="0" w:type="dxa"/>
            <w:bottom w:w="0" w:type="dxa"/>
          </w:tblCellMar>
        </w:tblPrEx>
        <w:trPr>
          <w:cantSplit/>
          <w:trHeight w:val="560"/>
        </w:trPr>
        <w:tc>
          <w:tcPr>
            <w:tcW w:w="700" w:type="dxa"/>
            <w:tcMar>
              <w:top w:w="0" w:type="dxa"/>
              <w:bottom w:w="0" w:type="dxa"/>
            </w:tcMar>
            <w:vAlign w:val="center"/>
          </w:tcPr>
          <w:p w14:paraId="05D0FFF8" w14:textId="77777777" w:rsidR="00C9284F" w:rsidRDefault="00636D83">
            <w:pPr>
              <w:keepNext/>
              <w:keepLines/>
              <w:spacing w:after="0" w:line="240" w:lineRule="auto"/>
            </w:pPr>
            <w:r>
              <w:rPr>
                <w:sz w:val="18"/>
              </w:rPr>
              <w:t>5445</w:t>
            </w:r>
          </w:p>
        </w:tc>
        <w:tc>
          <w:tcPr>
            <w:tcW w:w="3180" w:type="dxa"/>
            <w:tcMar>
              <w:top w:w="0" w:type="dxa"/>
              <w:bottom w:w="0" w:type="dxa"/>
            </w:tcMar>
            <w:vAlign w:val="center"/>
          </w:tcPr>
          <w:p w14:paraId="3DF87BED" w14:textId="77777777" w:rsidR="00C9284F" w:rsidRDefault="00636D83">
            <w:pPr>
              <w:keepNext/>
              <w:keepLines/>
              <w:spacing w:after="0" w:line="240" w:lineRule="auto"/>
            </w:pPr>
            <w:r>
              <w:rPr>
                <w:sz w:val="18"/>
              </w:rPr>
              <w:t>Otplata glavnice primljenih zajmova od ostalih tuzemnih financijskih institucija izvan javnog sektora</w:t>
            </w:r>
          </w:p>
        </w:tc>
        <w:tc>
          <w:tcPr>
            <w:tcW w:w="700" w:type="dxa"/>
            <w:tcMar>
              <w:top w:w="0" w:type="dxa"/>
              <w:bottom w:w="0" w:type="dxa"/>
            </w:tcMar>
            <w:vAlign w:val="center"/>
          </w:tcPr>
          <w:p w14:paraId="00B6FABC" w14:textId="77777777" w:rsidR="00C9284F" w:rsidRDefault="00636D83">
            <w:pPr>
              <w:keepNext/>
              <w:keepLines/>
              <w:spacing w:after="0" w:line="240" w:lineRule="auto"/>
            </w:pPr>
            <w:r>
              <w:rPr>
                <w:sz w:val="18"/>
              </w:rPr>
              <w:t>5445</w:t>
            </w:r>
          </w:p>
        </w:tc>
        <w:tc>
          <w:tcPr>
            <w:tcW w:w="1860" w:type="dxa"/>
            <w:tcMar>
              <w:top w:w="0" w:type="dxa"/>
              <w:bottom w:w="0" w:type="dxa"/>
            </w:tcMar>
            <w:vAlign w:val="center"/>
          </w:tcPr>
          <w:p w14:paraId="06BDA44A" w14:textId="77777777" w:rsidR="00C9284F" w:rsidRDefault="00636D83">
            <w:pPr>
              <w:keepNext/>
              <w:keepLines/>
              <w:spacing w:after="0" w:line="240" w:lineRule="auto"/>
              <w:jc w:val="right"/>
            </w:pPr>
            <w:r>
              <w:rPr>
                <w:sz w:val="18"/>
              </w:rPr>
              <w:t>68.113,70</w:t>
            </w:r>
          </w:p>
        </w:tc>
        <w:tc>
          <w:tcPr>
            <w:tcW w:w="1860" w:type="dxa"/>
            <w:tcMar>
              <w:top w:w="0" w:type="dxa"/>
              <w:bottom w:w="0" w:type="dxa"/>
            </w:tcMar>
            <w:vAlign w:val="center"/>
          </w:tcPr>
          <w:p w14:paraId="345461E2" w14:textId="77777777" w:rsidR="00C9284F" w:rsidRDefault="00636D83">
            <w:pPr>
              <w:keepNext/>
              <w:keepLines/>
              <w:spacing w:after="0" w:line="240" w:lineRule="auto"/>
              <w:jc w:val="right"/>
            </w:pPr>
            <w:r>
              <w:rPr>
                <w:sz w:val="18"/>
              </w:rPr>
              <w:t>96.827,13</w:t>
            </w:r>
          </w:p>
        </w:tc>
        <w:tc>
          <w:tcPr>
            <w:tcW w:w="700" w:type="dxa"/>
            <w:tcMar>
              <w:top w:w="0" w:type="dxa"/>
              <w:bottom w:w="0" w:type="dxa"/>
            </w:tcMar>
            <w:vAlign w:val="center"/>
          </w:tcPr>
          <w:p w14:paraId="243BE685" w14:textId="77777777" w:rsidR="00C9284F" w:rsidRDefault="00636D83">
            <w:pPr>
              <w:keepNext/>
              <w:keepLines/>
              <w:spacing w:after="0" w:line="240" w:lineRule="auto"/>
              <w:jc w:val="right"/>
            </w:pPr>
            <w:r>
              <w:rPr>
                <w:sz w:val="18"/>
              </w:rPr>
              <w:t>142,2</w:t>
            </w:r>
          </w:p>
        </w:tc>
      </w:tr>
    </w:tbl>
    <w:p w14:paraId="159A2B26" w14:textId="77777777" w:rsidR="00C9284F" w:rsidRDefault="00C9284F">
      <w:pPr>
        <w:spacing w:after="0"/>
      </w:pPr>
    </w:p>
    <w:p w14:paraId="5675FD46" w14:textId="77777777" w:rsidR="00C9284F" w:rsidRDefault="00636D83">
      <w:r>
        <w:t>Do odstupanja od ostvarenja u izvještajnom razdoblju prethodne godine došlo je zbog novog financijskog leasinga za 9 službenih automobila.</w:t>
      </w:r>
    </w:p>
    <w:p w14:paraId="07824BED" w14:textId="77777777" w:rsidR="00C9284F" w:rsidRDefault="00C9284F"/>
    <w:p w14:paraId="2CA764AB" w14:textId="77777777" w:rsidR="00C9284F" w:rsidRDefault="00636D83">
      <w:pPr>
        <w:keepNext/>
        <w:spacing w:line="240" w:lineRule="auto"/>
        <w:jc w:val="center"/>
      </w:pPr>
      <w:r>
        <w:rPr>
          <w:b/>
          <w:sz w:val="28"/>
        </w:rPr>
        <w:t>Bilanca</w:t>
      </w:r>
    </w:p>
    <w:p w14:paraId="2CCDB5FC" w14:textId="77777777" w:rsidR="00C9284F" w:rsidRDefault="00636D83">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1D69C3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CB516C"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FF8403"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783099"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ED1854" w14:textId="77777777" w:rsidR="00C9284F" w:rsidRDefault="00636D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CCB1193" w14:textId="77777777" w:rsidR="00C9284F" w:rsidRDefault="00636D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56E240B" w14:textId="77777777" w:rsidR="00C9284F" w:rsidRDefault="00636D83">
            <w:pPr>
              <w:keepNext/>
              <w:keepLines/>
              <w:spacing w:after="0" w:line="240" w:lineRule="auto"/>
              <w:jc w:val="center"/>
            </w:pPr>
            <w:r>
              <w:rPr>
                <w:b/>
                <w:sz w:val="18"/>
              </w:rPr>
              <w:t>Indeks (%)</w:t>
            </w:r>
          </w:p>
        </w:tc>
      </w:tr>
      <w:tr w:rsidR="00C9284F" w14:paraId="390822A6" w14:textId="77777777">
        <w:tblPrEx>
          <w:tblCellMar>
            <w:top w:w="0" w:type="dxa"/>
            <w:bottom w:w="0" w:type="dxa"/>
          </w:tblCellMar>
        </w:tblPrEx>
        <w:trPr>
          <w:cantSplit/>
          <w:trHeight w:val="560"/>
        </w:trPr>
        <w:tc>
          <w:tcPr>
            <w:tcW w:w="700" w:type="dxa"/>
            <w:tcMar>
              <w:top w:w="0" w:type="dxa"/>
              <w:bottom w:w="0" w:type="dxa"/>
            </w:tcMar>
            <w:vAlign w:val="center"/>
          </w:tcPr>
          <w:p w14:paraId="7D805808" w14:textId="77777777" w:rsidR="00C9284F" w:rsidRDefault="00636D83">
            <w:pPr>
              <w:keepNext/>
              <w:keepLines/>
              <w:spacing w:after="0" w:line="240" w:lineRule="auto"/>
            </w:pPr>
            <w:r>
              <w:rPr>
                <w:sz w:val="18"/>
              </w:rPr>
              <w:t>0221</w:t>
            </w:r>
          </w:p>
        </w:tc>
        <w:tc>
          <w:tcPr>
            <w:tcW w:w="3180" w:type="dxa"/>
            <w:tcMar>
              <w:top w:w="0" w:type="dxa"/>
              <w:bottom w:w="0" w:type="dxa"/>
            </w:tcMar>
            <w:vAlign w:val="center"/>
          </w:tcPr>
          <w:p w14:paraId="3FBE1A40" w14:textId="77777777" w:rsidR="00C9284F" w:rsidRDefault="00636D83">
            <w:pPr>
              <w:keepNext/>
              <w:keepLines/>
              <w:spacing w:after="0" w:line="240" w:lineRule="auto"/>
            </w:pPr>
            <w:r>
              <w:rPr>
                <w:sz w:val="18"/>
              </w:rPr>
              <w:t>Uredska oprema i namještaj</w:t>
            </w:r>
          </w:p>
        </w:tc>
        <w:tc>
          <w:tcPr>
            <w:tcW w:w="700" w:type="dxa"/>
            <w:tcMar>
              <w:top w:w="0" w:type="dxa"/>
              <w:bottom w:w="0" w:type="dxa"/>
            </w:tcMar>
            <w:vAlign w:val="center"/>
          </w:tcPr>
          <w:p w14:paraId="7B01E017" w14:textId="77777777" w:rsidR="00C9284F" w:rsidRDefault="00636D83">
            <w:pPr>
              <w:keepNext/>
              <w:keepLines/>
              <w:spacing w:after="0" w:line="240" w:lineRule="auto"/>
            </w:pPr>
            <w:r>
              <w:rPr>
                <w:sz w:val="18"/>
              </w:rPr>
              <w:t>0221</w:t>
            </w:r>
          </w:p>
        </w:tc>
        <w:tc>
          <w:tcPr>
            <w:tcW w:w="1860" w:type="dxa"/>
            <w:tcMar>
              <w:top w:w="0" w:type="dxa"/>
              <w:bottom w:w="0" w:type="dxa"/>
            </w:tcMar>
            <w:vAlign w:val="center"/>
          </w:tcPr>
          <w:p w14:paraId="11FEC034" w14:textId="77777777" w:rsidR="00C9284F" w:rsidRDefault="00636D83">
            <w:pPr>
              <w:keepNext/>
              <w:keepLines/>
              <w:spacing w:after="0" w:line="240" w:lineRule="auto"/>
              <w:jc w:val="right"/>
            </w:pPr>
            <w:r>
              <w:rPr>
                <w:sz w:val="18"/>
              </w:rPr>
              <w:t>1.797.556,96</w:t>
            </w:r>
          </w:p>
        </w:tc>
        <w:tc>
          <w:tcPr>
            <w:tcW w:w="1860" w:type="dxa"/>
            <w:tcMar>
              <w:top w:w="0" w:type="dxa"/>
              <w:bottom w:w="0" w:type="dxa"/>
            </w:tcMar>
            <w:vAlign w:val="center"/>
          </w:tcPr>
          <w:p w14:paraId="75204974" w14:textId="77777777" w:rsidR="00C9284F" w:rsidRDefault="00636D83">
            <w:pPr>
              <w:keepNext/>
              <w:keepLines/>
              <w:spacing w:after="0" w:line="240" w:lineRule="auto"/>
              <w:jc w:val="right"/>
            </w:pPr>
            <w:r>
              <w:rPr>
                <w:sz w:val="18"/>
              </w:rPr>
              <w:t>1.802.118,42</w:t>
            </w:r>
          </w:p>
        </w:tc>
        <w:tc>
          <w:tcPr>
            <w:tcW w:w="700" w:type="dxa"/>
            <w:tcMar>
              <w:top w:w="0" w:type="dxa"/>
              <w:bottom w:w="0" w:type="dxa"/>
            </w:tcMar>
            <w:vAlign w:val="center"/>
          </w:tcPr>
          <w:p w14:paraId="72AEDAAD" w14:textId="77777777" w:rsidR="00C9284F" w:rsidRDefault="00636D83">
            <w:pPr>
              <w:keepNext/>
              <w:keepLines/>
              <w:spacing w:after="0" w:line="240" w:lineRule="auto"/>
              <w:jc w:val="right"/>
            </w:pPr>
            <w:r>
              <w:rPr>
                <w:sz w:val="18"/>
              </w:rPr>
              <w:t>100,3</w:t>
            </w:r>
          </w:p>
        </w:tc>
      </w:tr>
    </w:tbl>
    <w:p w14:paraId="08260144" w14:textId="77777777" w:rsidR="00C9284F" w:rsidRDefault="00C9284F">
      <w:pPr>
        <w:spacing w:after="0"/>
      </w:pPr>
    </w:p>
    <w:p w14:paraId="350B41B4" w14:textId="77777777" w:rsidR="00C9284F" w:rsidRDefault="00636D83">
      <w:r>
        <w:t>Do povećanja u izvještajnom razdoblju dolazi radi nabave, isporuke i implementacije vatrozida nove generacije.</w:t>
      </w:r>
    </w:p>
    <w:p w14:paraId="0BE4727B" w14:textId="77777777" w:rsidR="00C9284F" w:rsidRDefault="00C9284F"/>
    <w:p w14:paraId="5608953A" w14:textId="77777777" w:rsidR="00C9284F" w:rsidRDefault="00636D83">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2BCD0F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51A2EC"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E3EAD6"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B4E8F0"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5906D1" w14:textId="77777777" w:rsidR="00C9284F" w:rsidRDefault="00636D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F6772A4" w14:textId="77777777" w:rsidR="00C9284F" w:rsidRDefault="00636D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A5DAF1" w14:textId="77777777" w:rsidR="00C9284F" w:rsidRDefault="00636D83">
            <w:pPr>
              <w:keepNext/>
              <w:keepLines/>
              <w:spacing w:after="0" w:line="240" w:lineRule="auto"/>
              <w:jc w:val="center"/>
            </w:pPr>
            <w:r>
              <w:rPr>
                <w:b/>
                <w:sz w:val="18"/>
              </w:rPr>
              <w:t>Indeks (%)</w:t>
            </w:r>
          </w:p>
        </w:tc>
      </w:tr>
      <w:tr w:rsidR="00C9284F" w14:paraId="0E47DECA" w14:textId="77777777">
        <w:tblPrEx>
          <w:tblCellMar>
            <w:top w:w="0" w:type="dxa"/>
            <w:bottom w:w="0" w:type="dxa"/>
          </w:tblCellMar>
        </w:tblPrEx>
        <w:trPr>
          <w:cantSplit/>
          <w:trHeight w:val="560"/>
        </w:trPr>
        <w:tc>
          <w:tcPr>
            <w:tcW w:w="700" w:type="dxa"/>
            <w:tcMar>
              <w:top w:w="0" w:type="dxa"/>
              <w:bottom w:w="0" w:type="dxa"/>
            </w:tcMar>
            <w:vAlign w:val="center"/>
          </w:tcPr>
          <w:p w14:paraId="74D71FBE" w14:textId="77777777" w:rsidR="00C9284F" w:rsidRDefault="00636D83">
            <w:pPr>
              <w:keepNext/>
              <w:keepLines/>
              <w:spacing w:after="0" w:line="240" w:lineRule="auto"/>
            </w:pPr>
            <w:r>
              <w:rPr>
                <w:sz w:val="18"/>
              </w:rPr>
              <w:t>0223</w:t>
            </w:r>
          </w:p>
        </w:tc>
        <w:tc>
          <w:tcPr>
            <w:tcW w:w="3180" w:type="dxa"/>
            <w:tcMar>
              <w:top w:w="0" w:type="dxa"/>
              <w:bottom w:w="0" w:type="dxa"/>
            </w:tcMar>
            <w:vAlign w:val="center"/>
          </w:tcPr>
          <w:p w14:paraId="7BE9C237" w14:textId="77777777" w:rsidR="00C9284F" w:rsidRDefault="00636D83">
            <w:pPr>
              <w:keepNext/>
              <w:keepLines/>
              <w:spacing w:after="0" w:line="240" w:lineRule="auto"/>
            </w:pPr>
            <w:r>
              <w:rPr>
                <w:sz w:val="18"/>
              </w:rPr>
              <w:t>Oprema za održavanje i zaštitu</w:t>
            </w:r>
          </w:p>
        </w:tc>
        <w:tc>
          <w:tcPr>
            <w:tcW w:w="700" w:type="dxa"/>
            <w:tcMar>
              <w:top w:w="0" w:type="dxa"/>
              <w:bottom w:w="0" w:type="dxa"/>
            </w:tcMar>
            <w:vAlign w:val="center"/>
          </w:tcPr>
          <w:p w14:paraId="51CCC478" w14:textId="77777777" w:rsidR="00C9284F" w:rsidRDefault="00636D83">
            <w:pPr>
              <w:keepNext/>
              <w:keepLines/>
              <w:spacing w:after="0" w:line="240" w:lineRule="auto"/>
            </w:pPr>
            <w:r>
              <w:rPr>
                <w:sz w:val="18"/>
              </w:rPr>
              <w:t>0223</w:t>
            </w:r>
          </w:p>
        </w:tc>
        <w:tc>
          <w:tcPr>
            <w:tcW w:w="1860" w:type="dxa"/>
            <w:tcMar>
              <w:top w:w="0" w:type="dxa"/>
              <w:bottom w:w="0" w:type="dxa"/>
            </w:tcMar>
            <w:vAlign w:val="center"/>
          </w:tcPr>
          <w:p w14:paraId="379A1F9D" w14:textId="77777777" w:rsidR="00C9284F" w:rsidRDefault="00636D83">
            <w:pPr>
              <w:keepNext/>
              <w:keepLines/>
              <w:spacing w:after="0" w:line="240" w:lineRule="auto"/>
              <w:jc w:val="right"/>
            </w:pPr>
            <w:r>
              <w:rPr>
                <w:sz w:val="18"/>
              </w:rPr>
              <w:t>994.700,38</w:t>
            </w:r>
          </w:p>
        </w:tc>
        <w:tc>
          <w:tcPr>
            <w:tcW w:w="1860" w:type="dxa"/>
            <w:tcMar>
              <w:top w:w="0" w:type="dxa"/>
              <w:bottom w:w="0" w:type="dxa"/>
            </w:tcMar>
            <w:vAlign w:val="center"/>
          </w:tcPr>
          <w:p w14:paraId="2EBB92B8" w14:textId="77777777" w:rsidR="00C9284F" w:rsidRDefault="00636D83">
            <w:pPr>
              <w:keepNext/>
              <w:keepLines/>
              <w:spacing w:after="0" w:line="240" w:lineRule="auto"/>
              <w:jc w:val="right"/>
            </w:pPr>
            <w:r>
              <w:rPr>
                <w:sz w:val="18"/>
              </w:rPr>
              <w:t>1.011.914,66</w:t>
            </w:r>
          </w:p>
        </w:tc>
        <w:tc>
          <w:tcPr>
            <w:tcW w:w="700" w:type="dxa"/>
            <w:tcMar>
              <w:top w:w="0" w:type="dxa"/>
              <w:bottom w:w="0" w:type="dxa"/>
            </w:tcMar>
            <w:vAlign w:val="center"/>
          </w:tcPr>
          <w:p w14:paraId="6CF857A9" w14:textId="77777777" w:rsidR="00C9284F" w:rsidRDefault="00636D83">
            <w:pPr>
              <w:keepNext/>
              <w:keepLines/>
              <w:spacing w:after="0" w:line="240" w:lineRule="auto"/>
              <w:jc w:val="right"/>
            </w:pPr>
            <w:r>
              <w:rPr>
                <w:sz w:val="18"/>
              </w:rPr>
              <w:t>101,7</w:t>
            </w:r>
          </w:p>
        </w:tc>
      </w:tr>
    </w:tbl>
    <w:p w14:paraId="763AB08A" w14:textId="77777777" w:rsidR="00C9284F" w:rsidRDefault="00C9284F">
      <w:pPr>
        <w:spacing w:after="0"/>
      </w:pPr>
    </w:p>
    <w:p w14:paraId="44939113" w14:textId="77777777" w:rsidR="00C9284F" w:rsidRDefault="00636D83">
      <w:r>
        <w:t>Do povećanja u izjveštajnom razdoblju dolazi radi nabave klimatizacijskih uređaja.</w:t>
      </w:r>
    </w:p>
    <w:p w14:paraId="6C3151F4" w14:textId="77777777" w:rsidR="00C9284F" w:rsidRDefault="00C9284F"/>
    <w:p w14:paraId="3B21E57E" w14:textId="77777777" w:rsidR="00C9284F" w:rsidRDefault="00636D83">
      <w:pPr>
        <w:keepNext/>
        <w:spacing w:line="240" w:lineRule="auto"/>
        <w:jc w:val="center"/>
      </w:pPr>
      <w:r>
        <w:rPr>
          <w:b/>
          <w:sz w:val="28"/>
        </w:rPr>
        <w:t>Promjene u vrijednosti i obujmu imovine i obveza</w:t>
      </w:r>
    </w:p>
    <w:p w14:paraId="1E6DE353" w14:textId="77777777" w:rsidR="00C9284F" w:rsidRDefault="00636D83">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9284F" w14:paraId="63821E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B6A4BE"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DAF2B4"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9DA99A"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8033FE" w14:textId="77777777" w:rsidR="00C9284F" w:rsidRDefault="00636D8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F574FD8" w14:textId="77777777" w:rsidR="00C9284F" w:rsidRDefault="00636D83">
            <w:pPr>
              <w:keepNext/>
              <w:keepLines/>
              <w:spacing w:after="0" w:line="240" w:lineRule="auto"/>
              <w:jc w:val="center"/>
            </w:pPr>
            <w:r>
              <w:rPr>
                <w:b/>
                <w:sz w:val="18"/>
              </w:rPr>
              <w:t xml:space="preserve">Iznos </w:t>
            </w:r>
            <w:r>
              <w:rPr>
                <w:b/>
                <w:sz w:val="18"/>
              </w:rPr>
              <w:t>smanjenja</w:t>
            </w:r>
          </w:p>
        </w:tc>
        <w:tc>
          <w:tcPr>
            <w:tcW w:w="700" w:type="dxa"/>
            <w:shd w:val="clear" w:color="auto" w:fill="E7F0F9"/>
            <w:tcMar>
              <w:top w:w="0" w:type="dxa"/>
              <w:bottom w:w="0" w:type="dxa"/>
            </w:tcMar>
            <w:vAlign w:val="center"/>
          </w:tcPr>
          <w:p w14:paraId="639EF0A0" w14:textId="77777777" w:rsidR="00C9284F" w:rsidRDefault="00636D83">
            <w:pPr>
              <w:keepNext/>
              <w:keepLines/>
              <w:spacing w:after="0" w:line="240" w:lineRule="auto"/>
              <w:jc w:val="center"/>
            </w:pPr>
            <w:r>
              <w:rPr>
                <w:b/>
                <w:sz w:val="18"/>
              </w:rPr>
              <w:t>Indeks (%)</w:t>
            </w:r>
          </w:p>
        </w:tc>
      </w:tr>
      <w:tr w:rsidR="00C9284F" w14:paraId="01918FC4" w14:textId="77777777">
        <w:tblPrEx>
          <w:tblCellMar>
            <w:top w:w="0" w:type="dxa"/>
            <w:bottom w:w="0" w:type="dxa"/>
          </w:tblCellMar>
        </w:tblPrEx>
        <w:trPr>
          <w:cantSplit/>
          <w:trHeight w:val="560"/>
        </w:trPr>
        <w:tc>
          <w:tcPr>
            <w:tcW w:w="700" w:type="dxa"/>
            <w:tcMar>
              <w:top w:w="0" w:type="dxa"/>
              <w:bottom w:w="0" w:type="dxa"/>
            </w:tcMar>
            <w:vAlign w:val="center"/>
          </w:tcPr>
          <w:p w14:paraId="11CCFF24" w14:textId="77777777" w:rsidR="00C9284F" w:rsidRDefault="00C9284F">
            <w:pPr>
              <w:keepNext/>
              <w:keepLines/>
              <w:spacing w:after="0" w:line="240" w:lineRule="auto"/>
            </w:pPr>
          </w:p>
        </w:tc>
        <w:tc>
          <w:tcPr>
            <w:tcW w:w="3180" w:type="dxa"/>
            <w:tcMar>
              <w:top w:w="0" w:type="dxa"/>
              <w:bottom w:w="0" w:type="dxa"/>
            </w:tcMar>
            <w:vAlign w:val="center"/>
          </w:tcPr>
          <w:p w14:paraId="0064CA8B" w14:textId="77777777" w:rsidR="00C9284F" w:rsidRDefault="00636D83">
            <w:pPr>
              <w:keepNext/>
              <w:keepLines/>
              <w:spacing w:after="0" w:line="240" w:lineRule="auto"/>
            </w:pPr>
            <w:r>
              <w:rPr>
                <w:sz w:val="18"/>
              </w:rPr>
              <w:t>Neproizvedena dugotrajna imovina</w:t>
            </w:r>
          </w:p>
        </w:tc>
        <w:tc>
          <w:tcPr>
            <w:tcW w:w="700" w:type="dxa"/>
            <w:tcMar>
              <w:top w:w="0" w:type="dxa"/>
              <w:bottom w:w="0" w:type="dxa"/>
            </w:tcMar>
            <w:vAlign w:val="center"/>
          </w:tcPr>
          <w:p w14:paraId="35BAEE65" w14:textId="77777777" w:rsidR="00C9284F" w:rsidRDefault="00636D83">
            <w:pPr>
              <w:keepNext/>
              <w:keepLines/>
              <w:spacing w:after="0" w:line="240" w:lineRule="auto"/>
            </w:pPr>
            <w:r>
              <w:rPr>
                <w:sz w:val="18"/>
              </w:rPr>
              <w:t>P002</w:t>
            </w:r>
          </w:p>
        </w:tc>
        <w:tc>
          <w:tcPr>
            <w:tcW w:w="1860" w:type="dxa"/>
            <w:tcMar>
              <w:top w:w="0" w:type="dxa"/>
              <w:bottom w:w="0" w:type="dxa"/>
            </w:tcMar>
            <w:vAlign w:val="center"/>
          </w:tcPr>
          <w:p w14:paraId="5F585F80" w14:textId="77777777" w:rsidR="00C9284F" w:rsidRDefault="00636D83">
            <w:pPr>
              <w:keepNext/>
              <w:keepLines/>
              <w:spacing w:after="0" w:line="240" w:lineRule="auto"/>
              <w:jc w:val="right"/>
            </w:pPr>
            <w:r>
              <w:rPr>
                <w:sz w:val="18"/>
              </w:rPr>
              <w:t>0,00</w:t>
            </w:r>
          </w:p>
        </w:tc>
        <w:tc>
          <w:tcPr>
            <w:tcW w:w="1860" w:type="dxa"/>
            <w:tcMar>
              <w:top w:w="0" w:type="dxa"/>
              <w:bottom w:w="0" w:type="dxa"/>
            </w:tcMar>
            <w:vAlign w:val="center"/>
          </w:tcPr>
          <w:p w14:paraId="5C548C50" w14:textId="77777777" w:rsidR="00C9284F" w:rsidRDefault="00636D83">
            <w:pPr>
              <w:keepNext/>
              <w:keepLines/>
              <w:spacing w:after="0" w:line="240" w:lineRule="auto"/>
              <w:jc w:val="right"/>
            </w:pPr>
            <w:r>
              <w:rPr>
                <w:sz w:val="18"/>
              </w:rPr>
              <w:t>429.250,78</w:t>
            </w:r>
          </w:p>
        </w:tc>
        <w:tc>
          <w:tcPr>
            <w:tcW w:w="700" w:type="dxa"/>
            <w:tcMar>
              <w:top w:w="0" w:type="dxa"/>
              <w:bottom w:w="0" w:type="dxa"/>
            </w:tcMar>
            <w:vAlign w:val="center"/>
          </w:tcPr>
          <w:p w14:paraId="3297B899" w14:textId="77777777" w:rsidR="00C9284F" w:rsidRDefault="00636D83">
            <w:pPr>
              <w:keepNext/>
              <w:keepLines/>
              <w:spacing w:after="0" w:line="240" w:lineRule="auto"/>
              <w:jc w:val="right"/>
            </w:pPr>
            <w:r>
              <w:rPr>
                <w:sz w:val="18"/>
              </w:rPr>
              <w:t>-</w:t>
            </w:r>
          </w:p>
        </w:tc>
      </w:tr>
    </w:tbl>
    <w:p w14:paraId="4844FEEF" w14:textId="77777777" w:rsidR="00C9284F" w:rsidRDefault="00C9284F">
      <w:pPr>
        <w:spacing w:after="0"/>
      </w:pPr>
    </w:p>
    <w:p w14:paraId="19F50187" w14:textId="77777777" w:rsidR="00C9284F" w:rsidRDefault="00636D83">
      <w:r>
        <w:t>Do smanjenja dolazi radi ispravka vrijednosti proizvedene dugotrajne imovine koji se provodi na dan 31.12.2025. godine i rashodovanja proizvedene dugotrajne imovine.</w:t>
      </w:r>
    </w:p>
    <w:p w14:paraId="674849CB" w14:textId="77777777" w:rsidR="00C9284F" w:rsidRDefault="00C9284F"/>
    <w:p w14:paraId="5B43E1F6" w14:textId="77777777" w:rsidR="00C9284F" w:rsidRDefault="00636D83">
      <w:pPr>
        <w:keepNext/>
        <w:spacing w:line="240" w:lineRule="auto"/>
        <w:jc w:val="center"/>
      </w:pPr>
      <w:r>
        <w:rPr>
          <w:b/>
          <w:sz w:val="28"/>
        </w:rPr>
        <w:t>Izvještaj o obvezama</w:t>
      </w:r>
    </w:p>
    <w:p w14:paraId="564085D0" w14:textId="77777777" w:rsidR="00C9284F" w:rsidRDefault="00636D83">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9284F" w14:paraId="0E1ED5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5A688A" w14:textId="77777777" w:rsidR="00C9284F" w:rsidRDefault="00636D8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691FCC" w14:textId="77777777" w:rsidR="00C9284F" w:rsidRDefault="00636D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F58849" w14:textId="77777777" w:rsidR="00C9284F" w:rsidRDefault="00636D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7A34AF" w14:textId="77777777" w:rsidR="00C9284F" w:rsidRDefault="00636D8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343E115" w14:textId="77777777" w:rsidR="00C9284F" w:rsidRDefault="00636D83">
            <w:pPr>
              <w:keepNext/>
              <w:keepLines/>
              <w:spacing w:after="0" w:line="240" w:lineRule="auto"/>
              <w:jc w:val="center"/>
            </w:pPr>
            <w:r>
              <w:rPr>
                <w:b/>
                <w:sz w:val="18"/>
              </w:rPr>
              <w:t>Indeks (%)</w:t>
            </w:r>
          </w:p>
        </w:tc>
      </w:tr>
      <w:tr w:rsidR="00C9284F" w14:paraId="169DE405" w14:textId="77777777">
        <w:tblPrEx>
          <w:tblCellMar>
            <w:top w:w="0" w:type="dxa"/>
            <w:bottom w:w="0" w:type="dxa"/>
          </w:tblCellMar>
        </w:tblPrEx>
        <w:trPr>
          <w:cantSplit/>
          <w:trHeight w:val="560"/>
        </w:trPr>
        <w:tc>
          <w:tcPr>
            <w:tcW w:w="700" w:type="dxa"/>
            <w:tcMar>
              <w:top w:w="0" w:type="dxa"/>
              <w:bottom w:w="0" w:type="dxa"/>
            </w:tcMar>
            <w:vAlign w:val="center"/>
          </w:tcPr>
          <w:p w14:paraId="4FF9CDAF" w14:textId="77777777" w:rsidR="00C9284F" w:rsidRDefault="00C9284F">
            <w:pPr>
              <w:keepNext/>
              <w:keepLines/>
              <w:spacing w:after="0" w:line="240" w:lineRule="auto"/>
            </w:pPr>
          </w:p>
        </w:tc>
        <w:tc>
          <w:tcPr>
            <w:tcW w:w="3180" w:type="dxa"/>
            <w:tcMar>
              <w:top w:w="0" w:type="dxa"/>
              <w:bottom w:w="0" w:type="dxa"/>
            </w:tcMar>
            <w:vAlign w:val="center"/>
          </w:tcPr>
          <w:p w14:paraId="3D54843F" w14:textId="77777777" w:rsidR="00C9284F" w:rsidRDefault="00636D83">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E623E46" w14:textId="77777777" w:rsidR="00C9284F" w:rsidRDefault="00636D83">
            <w:pPr>
              <w:keepNext/>
              <w:keepLines/>
              <w:spacing w:after="0" w:line="240" w:lineRule="auto"/>
            </w:pPr>
            <w:r>
              <w:rPr>
                <w:sz w:val="18"/>
              </w:rPr>
              <w:t>V007</w:t>
            </w:r>
          </w:p>
        </w:tc>
        <w:tc>
          <w:tcPr>
            <w:tcW w:w="1860" w:type="dxa"/>
            <w:tcMar>
              <w:top w:w="0" w:type="dxa"/>
              <w:bottom w:w="0" w:type="dxa"/>
            </w:tcMar>
            <w:vAlign w:val="center"/>
          </w:tcPr>
          <w:p w14:paraId="49FBF805" w14:textId="77777777" w:rsidR="00C9284F" w:rsidRDefault="00636D83">
            <w:pPr>
              <w:keepNext/>
              <w:keepLines/>
              <w:spacing w:after="0" w:line="240" w:lineRule="auto"/>
              <w:jc w:val="right"/>
            </w:pPr>
            <w:r>
              <w:rPr>
                <w:sz w:val="18"/>
              </w:rPr>
              <w:t>0,00</w:t>
            </w:r>
          </w:p>
        </w:tc>
        <w:tc>
          <w:tcPr>
            <w:tcW w:w="700" w:type="dxa"/>
            <w:tcMar>
              <w:top w:w="0" w:type="dxa"/>
              <w:bottom w:w="0" w:type="dxa"/>
            </w:tcMar>
            <w:vAlign w:val="center"/>
          </w:tcPr>
          <w:p w14:paraId="6266A391" w14:textId="77777777" w:rsidR="00C9284F" w:rsidRDefault="00636D83">
            <w:pPr>
              <w:keepNext/>
              <w:keepLines/>
              <w:spacing w:after="0" w:line="240" w:lineRule="auto"/>
              <w:jc w:val="right"/>
            </w:pPr>
            <w:r>
              <w:rPr>
                <w:sz w:val="18"/>
              </w:rPr>
              <w:t>-</w:t>
            </w:r>
          </w:p>
        </w:tc>
      </w:tr>
    </w:tbl>
    <w:p w14:paraId="42414E56" w14:textId="77777777" w:rsidR="00C9284F" w:rsidRDefault="00C9284F">
      <w:pPr>
        <w:spacing w:after="0"/>
      </w:pPr>
    </w:p>
    <w:p w14:paraId="5E670DC3" w14:textId="77777777" w:rsidR="00C9284F" w:rsidRDefault="00636D83">
      <w:r>
        <w:t>Ured za opće poslove Hrvatskoga sabora i Vlade Republike Hrvatske nema dospjelih obveza.</w:t>
      </w:r>
    </w:p>
    <w:p w14:paraId="3287C77C" w14:textId="77777777" w:rsidR="00C9284F" w:rsidRDefault="00C9284F"/>
    <w:sectPr w:rsidR="00C92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4F"/>
    <w:rsid w:val="00407541"/>
    <w:rsid w:val="00636D83"/>
    <w:rsid w:val="00C928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C9AA5"/>
  <w15:docId w15:val="{E40FAF5E-296E-4132-8A4A-8D3E22A7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2987</Words>
  <Characters>17027</Characters>
  <Application>Microsoft Office Word</Application>
  <DocSecurity>0</DocSecurity>
  <Lines>141</Lines>
  <Paragraphs>39</Paragraphs>
  <ScaleCrop>false</ScaleCrop>
  <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Čiček</dc:creator>
  <cp:lastModifiedBy>Josipa Čiček</cp:lastModifiedBy>
  <cp:revision>2</cp:revision>
  <dcterms:created xsi:type="dcterms:W3CDTF">2026-02-06T09:08:00Z</dcterms:created>
  <dcterms:modified xsi:type="dcterms:W3CDTF">2026-02-06T09:08:00Z</dcterms:modified>
</cp:coreProperties>
</file>